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BDE8B" w14:textId="0A04BC99" w:rsidR="000A4B61" w:rsidRPr="00982A60" w:rsidRDefault="000A4B61" w:rsidP="00982A60">
      <w:pPr>
        <w:pStyle w:val="CRCoverPage"/>
        <w:tabs>
          <w:tab w:val="right" w:pos="9639"/>
        </w:tabs>
        <w:spacing w:after="0"/>
        <w:rPr>
          <w:b/>
          <w:sz w:val="24"/>
        </w:rPr>
      </w:pPr>
      <w:r w:rsidRPr="00E30475">
        <w:rPr>
          <w:b/>
          <w:sz w:val="24"/>
        </w:rPr>
        <w:t>3GPP TSG-RAN WG2 Meeting #1</w:t>
      </w:r>
      <w:r w:rsidR="00500D3F" w:rsidRPr="00E30475">
        <w:rPr>
          <w:b/>
          <w:sz w:val="24"/>
        </w:rPr>
        <w:t>2</w:t>
      </w:r>
      <w:r w:rsidR="005F009C">
        <w:rPr>
          <w:b/>
          <w:sz w:val="24"/>
        </w:rPr>
        <w:t>4</w:t>
      </w:r>
      <w:r w:rsidRPr="00982A60">
        <w:rPr>
          <w:b/>
          <w:sz w:val="24"/>
        </w:rPr>
        <w:tab/>
      </w:r>
      <w:r w:rsidR="001F4D4D" w:rsidRPr="001F4D4D">
        <w:rPr>
          <w:b/>
          <w:sz w:val="24"/>
        </w:rPr>
        <w:t>R2-2312367</w:t>
      </w:r>
    </w:p>
    <w:p w14:paraId="7BE55ADA" w14:textId="304894E1" w:rsidR="00006A82" w:rsidRPr="00E30475" w:rsidRDefault="005F009C" w:rsidP="000A4B61">
      <w:pPr>
        <w:pStyle w:val="CRCoverPage"/>
        <w:tabs>
          <w:tab w:val="right" w:pos="9639"/>
        </w:tabs>
        <w:spacing w:after="0"/>
        <w:rPr>
          <w:rFonts w:eastAsia="宋体"/>
          <w:b/>
          <w:sz w:val="24"/>
        </w:rPr>
      </w:pPr>
      <w:r>
        <w:rPr>
          <w:b/>
          <w:sz w:val="24"/>
        </w:rPr>
        <w:t>Chicago</w:t>
      </w:r>
      <w:r w:rsidR="005B3FDE" w:rsidRPr="00E30475">
        <w:rPr>
          <w:b/>
          <w:sz w:val="24"/>
        </w:rPr>
        <w:t>,</w:t>
      </w:r>
      <w:r w:rsidR="00023152">
        <w:rPr>
          <w:b/>
          <w:sz w:val="24"/>
        </w:rPr>
        <w:t xml:space="preserve"> </w:t>
      </w:r>
      <w:r>
        <w:rPr>
          <w:b/>
          <w:sz w:val="24"/>
        </w:rPr>
        <w:t>USA</w:t>
      </w:r>
      <w:r w:rsidR="00023152">
        <w:rPr>
          <w:b/>
          <w:sz w:val="24"/>
        </w:rPr>
        <w:t xml:space="preserve">, </w:t>
      </w:r>
      <w:r>
        <w:rPr>
          <w:b/>
          <w:sz w:val="24"/>
        </w:rPr>
        <w:t>13</w:t>
      </w:r>
      <w:r w:rsidR="0099132B" w:rsidRPr="0099132B">
        <w:rPr>
          <w:b/>
          <w:sz w:val="24"/>
          <w:vertAlign w:val="superscript"/>
        </w:rPr>
        <w:t>th</w:t>
      </w:r>
      <w:r w:rsidR="0099132B">
        <w:rPr>
          <w:b/>
          <w:sz w:val="24"/>
        </w:rPr>
        <w:t xml:space="preserve"> –</w:t>
      </w:r>
      <w:r w:rsidR="00023152">
        <w:rPr>
          <w:b/>
          <w:sz w:val="24"/>
        </w:rPr>
        <w:t xml:space="preserve"> 1</w:t>
      </w:r>
      <w:r>
        <w:rPr>
          <w:b/>
          <w:sz w:val="24"/>
        </w:rPr>
        <w:t>7</w:t>
      </w:r>
      <w:r w:rsidR="0099132B" w:rsidRPr="0099132B">
        <w:rPr>
          <w:b/>
          <w:sz w:val="24"/>
          <w:vertAlign w:val="superscript"/>
        </w:rPr>
        <w:t>th</w:t>
      </w:r>
      <w:r>
        <w:rPr>
          <w:b/>
          <w:sz w:val="24"/>
        </w:rPr>
        <w:t xml:space="preserve"> November</w:t>
      </w:r>
      <w:r w:rsidR="00454CF6">
        <w:rPr>
          <w:b/>
          <w:sz w:val="24"/>
        </w:rPr>
        <w:t>,</w:t>
      </w:r>
      <w:r w:rsidR="00B93516" w:rsidRPr="00E30475">
        <w:rPr>
          <w:b/>
          <w:sz w:val="24"/>
        </w:rPr>
        <w:t xml:space="preserve"> 2023</w:t>
      </w:r>
    </w:p>
    <w:p w14:paraId="28DB4DAA" w14:textId="77777777" w:rsidR="00006A82" w:rsidRPr="00D92FCA" w:rsidRDefault="00006A82" w:rsidP="00955170">
      <w:pPr>
        <w:pStyle w:val="3GPPHeader"/>
        <w:rPr>
          <w:rFonts w:eastAsia="MS Mincho" w:cs="Arial"/>
          <w:szCs w:val="24"/>
          <w:lang w:eastAsia="en-US"/>
        </w:rPr>
      </w:pPr>
    </w:p>
    <w:p w14:paraId="003F3EF7" w14:textId="0E7791CE"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5F009C">
        <w:rPr>
          <w:rFonts w:ascii="Arial" w:eastAsia="MS Mincho" w:hAnsi="Arial" w:cs="Arial"/>
          <w:szCs w:val="24"/>
          <w:lang w:eastAsia="en-US"/>
        </w:rPr>
        <w:t>7.12.2.3</w:t>
      </w:r>
    </w:p>
    <w:p w14:paraId="155F32CB" w14:textId="77777777"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t>Huawei, HiSilicon</w:t>
      </w:r>
    </w:p>
    <w:p w14:paraId="002C5DE8" w14:textId="45FB1700" w:rsidR="006D529F"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5F009C" w:rsidRPr="005F009C">
        <w:rPr>
          <w:rFonts w:ascii="Arial" w:eastAsia="MS Mincho" w:hAnsi="Arial" w:cs="Arial"/>
          <w:szCs w:val="24"/>
          <w:lang w:eastAsia="en-US"/>
        </w:rPr>
        <w:t xml:space="preserve">Differences </w:t>
      </w:r>
      <w:r w:rsidR="008D458B">
        <w:rPr>
          <w:rFonts w:ascii="Arial" w:eastAsia="MS Mincho" w:hAnsi="Arial" w:cs="Arial"/>
          <w:szCs w:val="24"/>
          <w:lang w:eastAsia="en-US"/>
        </w:rPr>
        <w:t>between the RACH-less</w:t>
      </w:r>
      <w:r w:rsidR="009A6CE7">
        <w:rPr>
          <w:rFonts w:ascii="Arial" w:eastAsia="MS Mincho" w:hAnsi="Arial" w:cs="Arial"/>
          <w:szCs w:val="24"/>
          <w:lang w:eastAsia="en-US"/>
        </w:rPr>
        <w:t xml:space="preserve"> solution</w:t>
      </w:r>
      <w:r w:rsidR="008D458B">
        <w:rPr>
          <w:rFonts w:ascii="Arial" w:eastAsia="MS Mincho" w:hAnsi="Arial" w:cs="Arial"/>
          <w:szCs w:val="24"/>
          <w:lang w:eastAsia="en-US"/>
        </w:rPr>
        <w:t xml:space="preserve"> for</w:t>
      </w:r>
      <w:r w:rsidR="005F009C" w:rsidRPr="005F009C">
        <w:rPr>
          <w:rFonts w:ascii="Arial" w:eastAsia="MS Mincho" w:hAnsi="Arial" w:cs="Arial"/>
          <w:szCs w:val="24"/>
          <w:lang w:eastAsia="en-US"/>
        </w:rPr>
        <w:t xml:space="preserve"> mobile IAB and NTN</w:t>
      </w:r>
      <w:r w:rsidR="005F009C">
        <w:rPr>
          <w:rFonts w:ascii="Arial" w:eastAsia="MS Mincho" w:hAnsi="Arial" w:cs="Arial"/>
          <w:szCs w:val="24"/>
          <w:lang w:eastAsia="en-US"/>
        </w:rPr>
        <w:t xml:space="preserve"> </w:t>
      </w:r>
    </w:p>
    <w:p w14:paraId="411B4C0D" w14:textId="77777777" w:rsidR="00955170" w:rsidRPr="002328E6" w:rsidRDefault="00955170" w:rsidP="00144880">
      <w:pPr>
        <w:tabs>
          <w:tab w:val="left" w:pos="1985"/>
        </w:tabs>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p>
    <w:p w14:paraId="102DEFE8" w14:textId="6C2D324D" w:rsidR="00D92FCA" w:rsidRPr="00D92FCA" w:rsidRDefault="00D92FCA" w:rsidP="00D92FCA">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Pr>
          <w:rFonts w:ascii="Arial" w:eastAsia="Malgun Gothic" w:hAnsi="Arial"/>
          <w:sz w:val="36"/>
          <w:lang w:eastAsia="de-DE"/>
        </w:rPr>
        <w:t>Introduction</w:t>
      </w:r>
    </w:p>
    <w:p w14:paraId="0AD64B9C" w14:textId="636B4DCD" w:rsidR="00C96C52" w:rsidRPr="00E30475" w:rsidRDefault="005F009C" w:rsidP="00A81B6B">
      <w:r>
        <w:t xml:space="preserve">It was agreed the RACH-less HO for </w:t>
      </w:r>
      <w:r w:rsidR="00DC0758">
        <w:t xml:space="preserve">mobile IAB is expected to reuse most parts from NTN. This contribution mainly focuses on the differences between </w:t>
      </w:r>
      <w:r w:rsidR="008D458B">
        <w:t>the RACH-less for</w:t>
      </w:r>
      <w:r w:rsidR="00DC0758">
        <w:t xml:space="preserve"> mobile IAB and </w:t>
      </w:r>
      <w:r w:rsidR="008D458B">
        <w:t xml:space="preserve">for </w:t>
      </w:r>
      <w:r w:rsidR="00DC0758">
        <w:t>NTN.</w:t>
      </w:r>
    </w:p>
    <w:p w14:paraId="43B4CC6F" w14:textId="565F65F9" w:rsidR="00D92FCA" w:rsidRDefault="00D92FCA" w:rsidP="00D92FCA">
      <w:pPr>
        <w:keepNext/>
        <w:keepLines/>
        <w:pBdr>
          <w:top w:val="single" w:sz="12" w:space="3" w:color="auto"/>
        </w:pBdr>
        <w:spacing w:before="240"/>
        <w:ind w:left="1134" w:hanging="1134"/>
        <w:outlineLvl w:val="0"/>
        <w:rPr>
          <w:rFonts w:ascii="Arial" w:eastAsia="Malgun Gothic" w:hAnsi="Arial"/>
          <w:sz w:val="36"/>
          <w:lang w:eastAsia="de-DE"/>
        </w:rPr>
      </w:pPr>
      <w:bookmarkStart w:id="0" w:name="_Toc499559238"/>
      <w:bookmarkStart w:id="1" w:name="_Toc61387172"/>
      <w:bookmarkStart w:id="2" w:name="_Toc147158671"/>
      <w:r>
        <w:rPr>
          <w:rFonts w:ascii="Arial" w:eastAsia="Malgun Gothic" w:hAnsi="Arial"/>
          <w:sz w:val="36"/>
          <w:lang w:eastAsia="de-DE"/>
        </w:rPr>
        <w:t>2</w:t>
      </w:r>
      <w:r w:rsidRPr="00D92FCA">
        <w:rPr>
          <w:rFonts w:ascii="Arial" w:eastAsia="Malgun Gothic" w:hAnsi="Arial"/>
          <w:sz w:val="36"/>
          <w:lang w:eastAsia="de-DE"/>
        </w:rPr>
        <w:tab/>
      </w:r>
      <w:r>
        <w:rPr>
          <w:rFonts w:ascii="Arial" w:eastAsia="Malgun Gothic" w:hAnsi="Arial"/>
          <w:sz w:val="36"/>
          <w:lang w:eastAsia="de-DE"/>
        </w:rPr>
        <w:t>Discussion</w:t>
      </w:r>
      <w:bookmarkEnd w:id="0"/>
      <w:bookmarkEnd w:id="1"/>
      <w:bookmarkEnd w:id="2"/>
    </w:p>
    <w:p w14:paraId="54D1ED7F" w14:textId="3C76CDB1" w:rsidR="00DC0758" w:rsidRPr="00DC0758" w:rsidRDefault="00DC0758" w:rsidP="00DC0758">
      <w:pPr>
        <w:keepNext/>
        <w:keepLines/>
        <w:spacing w:before="180"/>
        <w:ind w:left="1134" w:hanging="1134"/>
        <w:outlineLvl w:val="1"/>
        <w:rPr>
          <w:rFonts w:ascii="Arial" w:eastAsia="Malgun Gothic" w:hAnsi="Arial"/>
          <w:sz w:val="32"/>
          <w:lang w:eastAsia="de-DE"/>
        </w:rPr>
      </w:pPr>
      <w:r>
        <w:rPr>
          <w:rFonts w:ascii="Arial" w:eastAsia="Malgun Gothic" w:hAnsi="Arial"/>
          <w:sz w:val="32"/>
          <w:lang w:eastAsia="de-DE"/>
        </w:rPr>
        <w:t>2</w:t>
      </w:r>
      <w:r w:rsidRPr="00D92FCA">
        <w:rPr>
          <w:rFonts w:ascii="Arial" w:eastAsia="Malgun Gothic" w:hAnsi="Arial"/>
          <w:sz w:val="32"/>
          <w:lang w:eastAsia="de-DE"/>
        </w:rPr>
        <w:t>.1</w:t>
      </w:r>
      <w:r w:rsidRPr="00D92FCA">
        <w:rPr>
          <w:rFonts w:ascii="Arial" w:eastAsia="Malgun Gothic" w:hAnsi="Arial"/>
          <w:sz w:val="32"/>
          <w:lang w:eastAsia="de-DE"/>
        </w:rPr>
        <w:tab/>
      </w:r>
      <w:r w:rsidRPr="00DC0758">
        <w:rPr>
          <w:rFonts w:ascii="Arial" w:eastAsia="Malgun Gothic" w:hAnsi="Arial"/>
          <w:sz w:val="32"/>
          <w:lang w:eastAsia="de-DE"/>
        </w:rPr>
        <w:t>N</w:t>
      </w:r>
      <w:r w:rsidRPr="00DC0758">
        <w:rPr>
          <w:rFonts w:ascii="Arial" w:eastAsia="Malgun Gothic" w:hAnsi="Arial"/>
          <w:sz w:val="32"/>
          <w:vertAlign w:val="subscript"/>
          <w:lang w:eastAsia="de-DE"/>
        </w:rPr>
        <w:t>TA</w:t>
      </w:r>
      <w:r>
        <w:rPr>
          <w:rFonts w:ascii="Arial" w:eastAsia="Malgun Gothic" w:hAnsi="Arial"/>
          <w:sz w:val="32"/>
          <w:lang w:eastAsia="de-DE"/>
        </w:rPr>
        <w:t xml:space="preserve"> i</w:t>
      </w:r>
      <w:r w:rsidRPr="00DC0758">
        <w:rPr>
          <w:rFonts w:ascii="Arial" w:eastAsia="Malgun Gothic" w:hAnsi="Arial"/>
          <w:sz w:val="32"/>
          <w:lang w:eastAsia="de-DE"/>
        </w:rPr>
        <w:t>ndication</w:t>
      </w:r>
    </w:p>
    <w:p w14:paraId="0628FF60" w14:textId="5769E140" w:rsidR="00DC0758" w:rsidRDefault="00DC0758" w:rsidP="00DC0758">
      <w:r>
        <w:t xml:space="preserve">For the indication of </w:t>
      </w:r>
      <w:r>
        <w:rPr>
          <w:lang w:eastAsia="zh-CN"/>
        </w:rPr>
        <w:t>N</w:t>
      </w:r>
      <w:r>
        <w:rPr>
          <w:vertAlign w:val="subscript"/>
          <w:lang w:eastAsia="zh-CN"/>
        </w:rPr>
        <w:t>TA</w:t>
      </w:r>
      <w:r>
        <w:t>, the NTN MAC running CR noted as follows:</w:t>
      </w:r>
    </w:p>
    <w:tbl>
      <w:tblPr>
        <w:tblStyle w:val="af9"/>
        <w:tblW w:w="0" w:type="auto"/>
        <w:tblLook w:val="04A0" w:firstRow="1" w:lastRow="0" w:firstColumn="1" w:lastColumn="0" w:noHBand="0" w:noVBand="1"/>
      </w:tblPr>
      <w:tblGrid>
        <w:gridCol w:w="9628"/>
      </w:tblGrid>
      <w:tr w:rsidR="00DC0758" w14:paraId="13114CCF" w14:textId="77777777" w:rsidTr="00A25682">
        <w:tc>
          <w:tcPr>
            <w:tcW w:w="9628" w:type="dxa"/>
          </w:tcPr>
          <w:p w14:paraId="6C22D62A" w14:textId="77777777" w:rsidR="00DC0758" w:rsidRDefault="00DC0758" w:rsidP="00DC0758">
            <w:pPr>
              <w:pStyle w:val="B1"/>
            </w:pPr>
            <w:r>
              <w:rPr>
                <w:lang w:eastAsia="ko-KR"/>
              </w:rPr>
              <w:t>1&gt;</w:t>
            </w:r>
            <w:r>
              <w:tab/>
              <w:t xml:space="preserve">when the MAC entity is configured with </w:t>
            </w:r>
            <w:r>
              <w:rPr>
                <w:i/>
                <w:iCs/>
              </w:rPr>
              <w:t>rach-LessHO</w:t>
            </w:r>
            <w:r>
              <w:t>:</w:t>
            </w:r>
          </w:p>
          <w:p w14:paraId="0F7EF682" w14:textId="77777777" w:rsidR="00DC0758" w:rsidRDefault="00DC0758" w:rsidP="00DC0758">
            <w:pPr>
              <w:pStyle w:val="B2"/>
            </w:pPr>
            <w:r>
              <w:rPr>
                <w:lang w:eastAsia="ko-KR"/>
              </w:rPr>
              <w:t>2&gt;</w:t>
            </w:r>
            <w:r>
              <w:rPr>
                <w:lang w:eastAsia="ko-KR"/>
              </w:rPr>
              <w:tab/>
            </w:r>
            <w:r>
              <w:t xml:space="preserve">set the </w:t>
            </w:r>
            <w:r>
              <w:rPr>
                <w:lang w:eastAsia="zh-CN"/>
              </w:rPr>
              <w:t>N</w:t>
            </w:r>
            <w:r>
              <w:rPr>
                <w:vertAlign w:val="subscript"/>
                <w:lang w:eastAsia="zh-CN"/>
              </w:rPr>
              <w:t>TA</w:t>
            </w:r>
            <w:r>
              <w:t xml:space="preserve"> value </w:t>
            </w:r>
            <w:r>
              <w:rPr>
                <w:lang w:eastAsia="ko-KR"/>
              </w:rPr>
              <w:t>(as defined in TS 38.211 [8])</w:t>
            </w:r>
            <w:r>
              <w:t xml:space="preserve"> to the value </w:t>
            </w:r>
            <w:r w:rsidRPr="00DC0758">
              <w:rPr>
                <w:highlight w:val="yellow"/>
              </w:rPr>
              <w:t xml:space="preserve">indicated by </w:t>
            </w:r>
            <w:r w:rsidRPr="00DC0758">
              <w:rPr>
                <w:i/>
                <w:iCs/>
                <w:highlight w:val="yellow"/>
              </w:rPr>
              <w:t xml:space="preserve">targetNTA </w:t>
            </w:r>
            <w:r w:rsidRPr="00DC0758">
              <w:rPr>
                <w:highlight w:val="yellow"/>
              </w:rPr>
              <w:t xml:space="preserve">in </w:t>
            </w:r>
            <w:r w:rsidRPr="00DC0758">
              <w:rPr>
                <w:i/>
                <w:iCs/>
                <w:highlight w:val="yellow"/>
              </w:rPr>
              <w:t>rach-LessHO</w:t>
            </w:r>
            <w:r>
              <w:t xml:space="preserve"> for PTAG;</w:t>
            </w:r>
          </w:p>
          <w:p w14:paraId="1CA22279" w14:textId="3BF2F8DA" w:rsidR="00DC0758" w:rsidRPr="00DC0758" w:rsidRDefault="00DC0758" w:rsidP="00DC0758">
            <w:pPr>
              <w:pStyle w:val="B2"/>
            </w:pPr>
            <w:r>
              <w:t xml:space="preserve">2&gt; start or restart the </w:t>
            </w:r>
            <w:r>
              <w:rPr>
                <w:i/>
                <w:iCs/>
              </w:rPr>
              <w:t>timeAlignmentTimer</w:t>
            </w:r>
            <w:r>
              <w:t xml:space="preserve"> associated with PTAG.</w:t>
            </w:r>
          </w:p>
        </w:tc>
      </w:tr>
    </w:tbl>
    <w:p w14:paraId="43928218" w14:textId="77777777" w:rsidR="00DC0758" w:rsidRDefault="00DC0758" w:rsidP="00DC0758"/>
    <w:p w14:paraId="1637C827" w14:textId="5CFD19DC" w:rsidR="00DC0758" w:rsidRDefault="00DC0758" w:rsidP="00DC0758">
      <w:r>
        <w:t xml:space="preserve">NTN MAC CR directly referred to </w:t>
      </w:r>
      <w:r w:rsidRPr="00DC0758">
        <w:rPr>
          <w:i/>
        </w:rPr>
        <w:t>targetNTA</w:t>
      </w:r>
      <w:r w:rsidRPr="00DC0758">
        <w:t xml:space="preserve"> in </w:t>
      </w:r>
      <w:r w:rsidRPr="00DC0758">
        <w:rPr>
          <w:i/>
        </w:rPr>
        <w:t>rach-LessHO</w:t>
      </w:r>
      <w:r>
        <w:t xml:space="preserve"> for </w:t>
      </w:r>
      <w:r>
        <w:rPr>
          <w:lang w:eastAsia="zh-CN"/>
        </w:rPr>
        <w:t>N</w:t>
      </w:r>
      <w:r>
        <w:rPr>
          <w:vertAlign w:val="subscript"/>
          <w:lang w:eastAsia="zh-CN"/>
        </w:rPr>
        <w:t>TA</w:t>
      </w:r>
      <w:r>
        <w:t xml:space="preserve"> the indication, which can be set to “zero” and “source” as illustrated in NTN RRC CR:</w:t>
      </w:r>
    </w:p>
    <w:tbl>
      <w:tblPr>
        <w:tblStyle w:val="af9"/>
        <w:tblW w:w="0" w:type="auto"/>
        <w:tblLook w:val="04A0" w:firstRow="1" w:lastRow="0" w:firstColumn="1" w:lastColumn="0" w:noHBand="0" w:noVBand="1"/>
      </w:tblPr>
      <w:tblGrid>
        <w:gridCol w:w="9628"/>
      </w:tblGrid>
      <w:tr w:rsidR="00DC0758" w14:paraId="6BB47767" w14:textId="77777777" w:rsidTr="00A25682">
        <w:tc>
          <w:tcPr>
            <w:tcW w:w="9628" w:type="dxa"/>
          </w:tcPr>
          <w:p w14:paraId="39C34ED1" w14:textId="77777777" w:rsidR="00DC0758" w:rsidRDefault="00DC0758" w:rsidP="00DC0758">
            <w:pPr>
              <w:pStyle w:val="PL"/>
            </w:pPr>
            <w:r>
              <w:t>RACH-LessHO-r18 ::=             SEQUENCE {</w:t>
            </w:r>
          </w:p>
          <w:p w14:paraId="14B37E19" w14:textId="77777777" w:rsidR="00DC0758" w:rsidRDefault="00DC0758" w:rsidP="00DC0758">
            <w:pPr>
              <w:pStyle w:val="PL"/>
            </w:pPr>
            <w:r>
              <w:t xml:space="preserve">    </w:t>
            </w:r>
            <w:r w:rsidRPr="00DC0758">
              <w:rPr>
                <w:highlight w:val="yellow"/>
              </w:rPr>
              <w:t>targetNTA-r18                      ENUMERATED {zero, source}</w:t>
            </w:r>
            <w:r>
              <w:t xml:space="preserve">                OPTIONAL,   -- Need R</w:t>
            </w:r>
          </w:p>
          <w:p w14:paraId="44F94B37" w14:textId="77777777" w:rsidR="00DC0758" w:rsidRDefault="00DC0758" w:rsidP="00DC0758">
            <w:pPr>
              <w:pStyle w:val="PL"/>
            </w:pPr>
            <w:r>
              <w:t xml:space="preserve">    tci-StateID-r18                    ENUMERATED {FFS}                         OPTIONAL    -- Need R</w:t>
            </w:r>
          </w:p>
          <w:p w14:paraId="20E426E2" w14:textId="3C7186ED" w:rsidR="00DC0758" w:rsidRPr="00DC0758" w:rsidRDefault="00DC0758" w:rsidP="00DC0758">
            <w:pPr>
              <w:pStyle w:val="PL"/>
            </w:pPr>
            <w:r>
              <w:t>}</w:t>
            </w:r>
          </w:p>
        </w:tc>
      </w:tr>
    </w:tbl>
    <w:p w14:paraId="57D82964" w14:textId="77777777" w:rsidR="00DC0758" w:rsidRDefault="00DC0758" w:rsidP="00DC0758">
      <w:pPr>
        <w:pStyle w:val="PL"/>
      </w:pPr>
    </w:p>
    <w:p w14:paraId="66959CBF" w14:textId="79042BEB" w:rsidR="00DC0758" w:rsidRDefault="00DC0758" w:rsidP="00DC0758">
      <w:bookmarkStart w:id="3" w:name="_Toc499559239"/>
      <w:bookmarkStart w:id="4" w:name="_Toc61387173"/>
      <w:bookmarkStart w:id="5" w:name="_Toc147158672"/>
      <w:r>
        <w:t xml:space="preserve">But it was agreed in mobile IAB that the </w:t>
      </w:r>
      <w:r>
        <w:rPr>
          <w:lang w:eastAsia="zh-CN"/>
        </w:rPr>
        <w:t>N</w:t>
      </w:r>
      <w:r>
        <w:rPr>
          <w:vertAlign w:val="subscript"/>
          <w:lang w:eastAsia="zh-CN"/>
        </w:rPr>
        <w:t>TA</w:t>
      </w:r>
      <w:r>
        <w:t xml:space="preserve"> in the target cell should be only identical to the source cell. Thus the text for the </w:t>
      </w:r>
      <w:r>
        <w:rPr>
          <w:lang w:eastAsia="zh-CN"/>
        </w:rPr>
        <w:t>N</w:t>
      </w:r>
      <w:r>
        <w:rPr>
          <w:vertAlign w:val="subscript"/>
          <w:lang w:eastAsia="zh-CN"/>
        </w:rPr>
        <w:t>TA</w:t>
      </w:r>
      <w:r>
        <w:t xml:space="preserve"> indication in NTN MAC running CR cannot be directly used for the mobile IAB. It is observed:</w:t>
      </w:r>
    </w:p>
    <w:p w14:paraId="13BB8F8F" w14:textId="394A1382" w:rsidR="00DC0758" w:rsidRDefault="00DC0758" w:rsidP="00DC0758">
      <w:pPr>
        <w:rPr>
          <w:b/>
        </w:rPr>
      </w:pPr>
      <w:r w:rsidRPr="00DC0758">
        <w:rPr>
          <w:b/>
        </w:rPr>
        <w:t>Observation 1: Mobile IAB only supports the same TA case, which is different with NTN.</w:t>
      </w:r>
    </w:p>
    <w:p w14:paraId="083E9D21" w14:textId="4FC3FED9" w:rsidR="00DC0758" w:rsidRPr="00D92FCA" w:rsidRDefault="00DC0758" w:rsidP="00DC0758">
      <w:pPr>
        <w:keepNext/>
        <w:keepLines/>
        <w:spacing w:before="180"/>
        <w:ind w:left="1134" w:hanging="1134"/>
        <w:outlineLvl w:val="1"/>
        <w:rPr>
          <w:rFonts w:ascii="Arial" w:eastAsia="Malgun Gothic" w:hAnsi="Arial"/>
          <w:sz w:val="32"/>
          <w:lang w:eastAsia="de-DE"/>
        </w:rPr>
      </w:pPr>
      <w:r>
        <w:rPr>
          <w:rFonts w:ascii="Arial" w:eastAsia="Malgun Gothic" w:hAnsi="Arial"/>
          <w:sz w:val="32"/>
          <w:lang w:eastAsia="de-DE"/>
        </w:rPr>
        <w:t>2</w:t>
      </w:r>
      <w:r w:rsidRPr="00D92FCA">
        <w:rPr>
          <w:rFonts w:ascii="Arial" w:eastAsia="Malgun Gothic" w:hAnsi="Arial"/>
          <w:sz w:val="32"/>
          <w:lang w:eastAsia="de-DE"/>
        </w:rPr>
        <w:t>.</w:t>
      </w:r>
      <w:r>
        <w:rPr>
          <w:rFonts w:ascii="Arial" w:eastAsia="Malgun Gothic" w:hAnsi="Arial"/>
          <w:sz w:val="32"/>
          <w:lang w:eastAsia="de-DE"/>
        </w:rPr>
        <w:t>2</w:t>
      </w:r>
      <w:r w:rsidRPr="00D92FCA">
        <w:rPr>
          <w:rFonts w:ascii="Arial" w:eastAsia="Malgun Gothic" w:hAnsi="Arial"/>
          <w:sz w:val="32"/>
          <w:lang w:eastAsia="de-DE"/>
        </w:rPr>
        <w:tab/>
      </w:r>
      <w:r>
        <w:rPr>
          <w:rFonts w:ascii="Arial" w:eastAsia="Malgun Gothic" w:hAnsi="Arial"/>
          <w:sz w:val="32"/>
          <w:lang w:eastAsia="de-DE"/>
        </w:rPr>
        <w:t>Beam indication</w:t>
      </w:r>
    </w:p>
    <w:p w14:paraId="42A82527" w14:textId="41A3EB47" w:rsidR="00DC0758" w:rsidRDefault="00DC0758" w:rsidP="00DC0758">
      <w:r w:rsidRPr="00DC0758">
        <w:t>The beam indication</w:t>
      </w:r>
      <w:r>
        <w:t>s</w:t>
      </w:r>
      <w:r w:rsidRPr="00DC0758">
        <w:t xml:space="preserve"> </w:t>
      </w:r>
      <w:r>
        <w:t>are different for configured grant</w:t>
      </w:r>
      <w:r w:rsidR="007611D5">
        <w:t xml:space="preserve"> (CG)</w:t>
      </w:r>
      <w:r>
        <w:t xml:space="preserve"> case and dynamic grant</w:t>
      </w:r>
      <w:r w:rsidR="007611D5">
        <w:t xml:space="preserve"> (DG)</w:t>
      </w:r>
      <w:r>
        <w:t xml:space="preserve"> case in NTN: </w:t>
      </w:r>
    </w:p>
    <w:tbl>
      <w:tblPr>
        <w:tblStyle w:val="af9"/>
        <w:tblW w:w="0" w:type="auto"/>
        <w:tblLook w:val="04A0" w:firstRow="1" w:lastRow="0" w:firstColumn="1" w:lastColumn="0" w:noHBand="0" w:noVBand="1"/>
      </w:tblPr>
      <w:tblGrid>
        <w:gridCol w:w="9628"/>
      </w:tblGrid>
      <w:tr w:rsidR="00DC0758" w14:paraId="7F6EBE43" w14:textId="77777777" w:rsidTr="00A25682">
        <w:tc>
          <w:tcPr>
            <w:tcW w:w="9628" w:type="dxa"/>
          </w:tcPr>
          <w:p w14:paraId="2FBC95DD" w14:textId="2D75D47F" w:rsidR="00DC0758" w:rsidRPr="00DC0758" w:rsidRDefault="00DC0758" w:rsidP="00DC0758">
            <w:pPr>
              <w:rPr>
                <w:szCs w:val="21"/>
                <w:lang w:val="en-US" w:eastAsia="zh-CN"/>
              </w:rPr>
            </w:pPr>
            <w:r>
              <w:rPr>
                <w:szCs w:val="21"/>
                <w:lang w:eastAsia="zh-CN"/>
              </w:rPr>
              <w:t>The initial uplink transmission in a RACH-less handover procedure can be performed either using a dynamic uplink grant or a configured uplink grant Type 1 preallocated by RRC, if configured.</w:t>
            </w:r>
          </w:p>
          <w:p w14:paraId="477ECC3F" w14:textId="77777777" w:rsidR="00DC0758" w:rsidRDefault="00DC0758" w:rsidP="00DC0758">
            <w:pPr>
              <w:rPr>
                <w:rFonts w:eastAsia="等线"/>
                <w:lang w:eastAsia="zh-CN"/>
              </w:rPr>
            </w:pPr>
            <w:r>
              <w:rPr>
                <w:rFonts w:eastAsia="等线"/>
                <w:lang w:eastAsia="zh-CN"/>
              </w:rPr>
              <w:t xml:space="preserve">When </w:t>
            </w:r>
            <w:r w:rsidRPr="00F74B0C">
              <w:rPr>
                <w:rFonts w:eastAsia="等线"/>
                <w:i/>
                <w:iCs/>
                <w:lang w:eastAsia="zh-CN"/>
              </w:rPr>
              <w:t>rach</w:t>
            </w:r>
            <w:r>
              <w:rPr>
                <w:rFonts w:eastAsia="等线"/>
                <w:i/>
                <w:iCs/>
                <w:lang w:eastAsia="zh-CN"/>
              </w:rPr>
              <w:t>-L</w:t>
            </w:r>
            <w:r w:rsidRPr="00CC37A0">
              <w:rPr>
                <w:rFonts w:eastAsia="等线"/>
                <w:i/>
                <w:iCs/>
                <w:lang w:eastAsia="zh-CN"/>
              </w:rPr>
              <w:t>essHO</w:t>
            </w:r>
            <w:r>
              <w:rPr>
                <w:rFonts w:eastAsia="等线"/>
                <w:lang w:eastAsia="zh-CN"/>
              </w:rPr>
              <w:t xml:space="preserve"> is configured, t</w:t>
            </w:r>
            <w:r w:rsidRPr="00CC37A0">
              <w:rPr>
                <w:rFonts w:eastAsia="等线"/>
                <w:lang w:eastAsia="zh-CN"/>
              </w:rPr>
              <w:t>he</w:t>
            </w:r>
            <w:r>
              <w:rPr>
                <w:rFonts w:eastAsia="等线"/>
                <w:lang w:eastAsia="zh-CN"/>
              </w:rPr>
              <w:t xml:space="preserve"> MAC entity shall:</w:t>
            </w:r>
          </w:p>
          <w:p w14:paraId="666E611B" w14:textId="77777777" w:rsidR="00DC0758" w:rsidRDefault="00DC0758" w:rsidP="00DC0758">
            <w:pPr>
              <w:pStyle w:val="B1"/>
              <w:rPr>
                <w:lang w:eastAsia="ko-KR"/>
              </w:rPr>
            </w:pPr>
            <w:r>
              <w:rPr>
                <w:lang w:eastAsia="ko-KR"/>
              </w:rPr>
              <w:t>1&gt;</w:t>
            </w:r>
            <w:r>
              <w:rPr>
                <w:lang w:eastAsia="ko-KR"/>
              </w:rPr>
              <w:tab/>
              <w:t xml:space="preserve">if </w:t>
            </w:r>
            <w:r w:rsidRPr="00DC0758">
              <w:rPr>
                <w:i/>
                <w:highlight w:val="yellow"/>
                <w:lang w:eastAsia="ko-KR"/>
              </w:rPr>
              <w:t>cg-NTN-RACH-less-Configuration</w:t>
            </w:r>
            <w:r>
              <w:rPr>
                <w:lang w:eastAsia="ko-KR"/>
              </w:rPr>
              <w:t xml:space="preserve"> is configured:</w:t>
            </w:r>
          </w:p>
          <w:p w14:paraId="339028F1" w14:textId="77777777" w:rsidR="00DC0758" w:rsidRDefault="00DC0758" w:rsidP="00DC0758">
            <w:pPr>
              <w:pStyle w:val="B2"/>
              <w:rPr>
                <w:lang w:eastAsia="ko-KR"/>
              </w:rPr>
            </w:pPr>
            <w:r>
              <w:rPr>
                <w:lang w:eastAsia="ko-KR"/>
              </w:rPr>
              <w:t xml:space="preserve">2&gt; select a configured uplink grant for initial uplink transmission </w:t>
            </w:r>
            <w:r w:rsidRPr="00DC0758">
              <w:rPr>
                <w:highlight w:val="yellow"/>
                <w:lang w:eastAsia="ko-KR"/>
              </w:rPr>
              <w:t>according to clause 5.8.2</w:t>
            </w:r>
            <w:r>
              <w:rPr>
                <w:lang w:eastAsia="ko-KR"/>
              </w:rPr>
              <w:t>.</w:t>
            </w:r>
          </w:p>
          <w:p w14:paraId="3C7F811D" w14:textId="77777777" w:rsidR="00DC0758" w:rsidRDefault="00DC0758" w:rsidP="00DC0758">
            <w:pPr>
              <w:pStyle w:val="B1"/>
              <w:rPr>
                <w:lang w:eastAsia="ko-KR"/>
              </w:rPr>
            </w:pPr>
            <w:r>
              <w:rPr>
                <w:lang w:eastAsia="ko-KR"/>
              </w:rPr>
              <w:lastRenderedPageBreak/>
              <w:t>1&gt; else:</w:t>
            </w:r>
          </w:p>
          <w:p w14:paraId="02890E08" w14:textId="77777777" w:rsidR="00DC0758" w:rsidRDefault="00DC0758" w:rsidP="00DC0758">
            <w:pPr>
              <w:pStyle w:val="B2"/>
              <w:rPr>
                <w:lang w:eastAsia="ko-KR"/>
              </w:rPr>
            </w:pPr>
            <w:r>
              <w:rPr>
                <w:lang w:eastAsia="ko-KR"/>
              </w:rPr>
              <w:t xml:space="preserve">2&gt; if </w:t>
            </w:r>
            <w:r>
              <w:rPr>
                <w:i/>
                <w:iCs/>
                <w:lang w:eastAsia="ko-KR"/>
              </w:rPr>
              <w:t>tci-StateID</w:t>
            </w:r>
            <w:r>
              <w:rPr>
                <w:lang w:eastAsia="ko-KR"/>
              </w:rPr>
              <w:t xml:space="preserve"> is configured in </w:t>
            </w:r>
            <w:r>
              <w:rPr>
                <w:i/>
                <w:iCs/>
                <w:lang w:eastAsia="ko-KR"/>
              </w:rPr>
              <w:t>rach-lessHO</w:t>
            </w:r>
            <w:r>
              <w:rPr>
                <w:lang w:eastAsia="ko-KR"/>
              </w:rPr>
              <w:t>:</w:t>
            </w:r>
          </w:p>
          <w:p w14:paraId="5EEBE9E0" w14:textId="77777777" w:rsidR="00DC0758" w:rsidRPr="003D441D" w:rsidRDefault="00DC0758" w:rsidP="00DC0758">
            <w:pPr>
              <w:pStyle w:val="B3"/>
              <w:rPr>
                <w:noProof/>
                <w:lang w:eastAsia="ko-KR"/>
              </w:rPr>
            </w:pPr>
            <w:r>
              <w:rPr>
                <w:noProof/>
                <w:lang w:eastAsia="ko-KR"/>
              </w:rPr>
              <w:t xml:space="preserve">3&gt; </w:t>
            </w:r>
            <w:r w:rsidRPr="00011F2B">
              <w:rPr>
                <w:rFonts w:eastAsia="宋体"/>
              </w:rPr>
              <w:t xml:space="preserve">indicate </w:t>
            </w:r>
            <w:r>
              <w:rPr>
                <w:rFonts w:eastAsia="宋体"/>
              </w:rPr>
              <w:t xml:space="preserve">to lower layers the TCI state information included in </w:t>
            </w:r>
            <w:r>
              <w:rPr>
                <w:rFonts w:eastAsia="宋体"/>
                <w:i/>
                <w:iCs/>
              </w:rPr>
              <w:t>tci-StateID</w:t>
            </w:r>
            <w:r w:rsidRPr="00011F2B">
              <w:rPr>
                <w:rFonts w:eastAsia="宋体"/>
              </w:rPr>
              <w:t>;</w:t>
            </w:r>
          </w:p>
          <w:p w14:paraId="11A2342B" w14:textId="77777777" w:rsidR="00DC0758" w:rsidRPr="00DC0758" w:rsidRDefault="00DC0758" w:rsidP="00B9476C">
            <w:pPr>
              <w:pStyle w:val="PL"/>
              <w:ind w:leftChars="300" w:left="600"/>
              <w:rPr>
                <w:rFonts w:ascii="Times New Roman" w:hAnsi="Times New Roman"/>
                <w:sz w:val="20"/>
                <w:lang w:eastAsia="ko-KR"/>
              </w:rPr>
            </w:pPr>
            <w:r w:rsidRPr="00DC0758">
              <w:rPr>
                <w:rFonts w:ascii="Times New Roman" w:hAnsi="Times New Roman"/>
                <w:sz w:val="20"/>
                <w:lang w:eastAsia="ko-KR"/>
              </w:rPr>
              <w:t>2&gt; monitor the PDCCH as specified in TS 38.213 [6].</w:t>
            </w:r>
          </w:p>
          <w:p w14:paraId="2A9DB67E" w14:textId="1B780D39" w:rsidR="00DC0758" w:rsidRPr="00DC0758" w:rsidRDefault="00DC0758" w:rsidP="00DC0758">
            <w:pPr>
              <w:pStyle w:val="PL"/>
              <w:rPr>
                <w:rFonts w:ascii="Times New Roman" w:hAnsi="Times New Roman"/>
              </w:rPr>
            </w:pPr>
          </w:p>
        </w:tc>
      </w:tr>
    </w:tbl>
    <w:p w14:paraId="1B691915" w14:textId="77777777" w:rsidR="00DC0758" w:rsidRDefault="00DC0758" w:rsidP="00DC0758"/>
    <w:p w14:paraId="16B80DD2" w14:textId="2678DD8F" w:rsidR="00DC0758" w:rsidRDefault="00DC0758" w:rsidP="00DC0758">
      <w:r>
        <w:t>Specifically, for the CG case, in clause 5.8.2, it is noted:</w:t>
      </w:r>
    </w:p>
    <w:tbl>
      <w:tblPr>
        <w:tblStyle w:val="af9"/>
        <w:tblW w:w="0" w:type="auto"/>
        <w:tblLook w:val="04A0" w:firstRow="1" w:lastRow="0" w:firstColumn="1" w:lastColumn="0" w:noHBand="0" w:noVBand="1"/>
      </w:tblPr>
      <w:tblGrid>
        <w:gridCol w:w="9628"/>
      </w:tblGrid>
      <w:tr w:rsidR="00DC0758" w14:paraId="06870403" w14:textId="77777777" w:rsidTr="00A25682">
        <w:tc>
          <w:tcPr>
            <w:tcW w:w="9628" w:type="dxa"/>
          </w:tcPr>
          <w:p w14:paraId="42DE3940" w14:textId="77777777" w:rsidR="00DC0758" w:rsidRDefault="00DC0758" w:rsidP="00DC0758">
            <w:pPr>
              <w:rPr>
                <w:lang w:eastAsia="zh-CN"/>
              </w:rPr>
            </w:pPr>
            <w:r>
              <w:rPr>
                <w:lang w:eastAsia="zh-CN"/>
              </w:rPr>
              <w:t xml:space="preserve">For an uplink grant configured for configured grant Type 1 for RACH-less handover, when </w:t>
            </w:r>
            <w:r>
              <w:rPr>
                <w:i/>
                <w:iCs/>
                <w:lang w:eastAsia="zh-CN"/>
              </w:rPr>
              <w:t>rach-lessHO</w:t>
            </w:r>
            <w:r>
              <w:rPr>
                <w:lang w:eastAsia="zh-CN"/>
              </w:rPr>
              <w:t xml:space="preserve"> is configured and the first PUSCH transmission to the Serving Cell has not been performed, for each configured </w:t>
            </w:r>
            <w:r>
              <w:rPr>
                <w:rFonts w:eastAsia="宋体"/>
                <w:lang w:eastAsia="zh-CN"/>
              </w:rPr>
              <w:t>uplink</w:t>
            </w:r>
            <w:r>
              <w:rPr>
                <w:lang w:eastAsia="zh-CN"/>
              </w:rPr>
              <w:t xml:space="preserve"> grant valid according to TS 38.214 [7] for which the above formula is satisfied, the MAC entity shall:</w:t>
            </w:r>
          </w:p>
          <w:p w14:paraId="62472351" w14:textId="77777777" w:rsidR="00DC0758" w:rsidRDefault="00DC0758" w:rsidP="00DC0758">
            <w:pPr>
              <w:pStyle w:val="B1"/>
              <w:rPr>
                <w:lang w:eastAsia="zh-CN"/>
              </w:rPr>
            </w:pPr>
            <w:r>
              <w:rPr>
                <w:lang w:eastAsia="zh-CN"/>
              </w:rPr>
              <w:t xml:space="preserve">1&gt; if at least one SSB corresponding to the configured uplink grant with SS-RSRP above </w:t>
            </w:r>
            <w:r w:rsidRPr="005D6733">
              <w:rPr>
                <w:i/>
                <w:iCs/>
                <w:lang w:eastAsia="zh-CN"/>
              </w:rPr>
              <w:t>ntn-RSRP-ThresholdSSB</w:t>
            </w:r>
            <w:r>
              <w:rPr>
                <w:lang w:eastAsia="zh-CN"/>
              </w:rPr>
              <w:t xml:space="preserve"> is available:</w:t>
            </w:r>
          </w:p>
          <w:p w14:paraId="5E22B6D0" w14:textId="77777777" w:rsidR="00DC0758" w:rsidRDefault="00DC0758" w:rsidP="00DC0758">
            <w:pPr>
              <w:pStyle w:val="B2"/>
              <w:rPr>
                <w:lang w:eastAsia="zh-CN"/>
              </w:rPr>
            </w:pPr>
            <w:r>
              <w:rPr>
                <w:lang w:eastAsia="zh-CN"/>
              </w:rPr>
              <w:t xml:space="preserve">2&gt; </w:t>
            </w:r>
            <w:r w:rsidRPr="007611D5">
              <w:rPr>
                <w:rFonts w:eastAsia="宋体"/>
                <w:highlight w:val="yellow"/>
                <w:lang w:eastAsia="zh-CN"/>
              </w:rPr>
              <w:t xml:space="preserve">select an SSB with SS-RSRP above </w:t>
            </w:r>
            <w:r w:rsidRPr="007611D5">
              <w:rPr>
                <w:i/>
                <w:iCs/>
                <w:highlight w:val="yellow"/>
                <w:lang w:eastAsia="zh-CN"/>
              </w:rPr>
              <w:t>ntn-RSRP-ThresholdSSB</w:t>
            </w:r>
            <w:r w:rsidRPr="007611D5">
              <w:rPr>
                <w:highlight w:val="yellow"/>
                <w:lang w:eastAsia="zh-CN"/>
              </w:rPr>
              <w:t xml:space="preserve"> </w:t>
            </w:r>
            <w:r w:rsidRPr="007611D5">
              <w:rPr>
                <w:rFonts w:eastAsia="宋体"/>
                <w:highlight w:val="yellow"/>
                <w:lang w:eastAsia="zh-CN"/>
              </w:rPr>
              <w:t>amongst the SSB(s) associated with the configured uplink grant;</w:t>
            </w:r>
          </w:p>
          <w:p w14:paraId="74CC21FA" w14:textId="77777777" w:rsidR="00DC0758" w:rsidRPr="00011F2B" w:rsidRDefault="00DC0758" w:rsidP="00DC0758">
            <w:pPr>
              <w:pStyle w:val="B2"/>
              <w:rPr>
                <w:rFonts w:eastAsia="宋体"/>
              </w:rPr>
            </w:pPr>
            <w:r>
              <w:rPr>
                <w:rFonts w:eastAsia="宋体"/>
              </w:rPr>
              <w:t>2</w:t>
            </w:r>
            <w:r w:rsidRPr="00011F2B">
              <w:rPr>
                <w:rFonts w:eastAsia="宋体"/>
              </w:rPr>
              <w:t>&gt;</w:t>
            </w:r>
            <w:r w:rsidRPr="00011F2B">
              <w:rPr>
                <w:rFonts w:eastAsia="宋体"/>
              </w:rPr>
              <w:tab/>
              <w:t>indicate the selected SSB index to the lower layer;</w:t>
            </w:r>
          </w:p>
          <w:p w14:paraId="56405A8C" w14:textId="77777777" w:rsidR="00DC0758" w:rsidRPr="00226D31" w:rsidRDefault="00DC0758" w:rsidP="00DC0758">
            <w:pPr>
              <w:pStyle w:val="B2"/>
              <w:rPr>
                <w:rFonts w:eastAsia="宋体"/>
              </w:rPr>
            </w:pPr>
            <w:r>
              <w:rPr>
                <w:rFonts w:eastAsia="宋体"/>
              </w:rPr>
              <w:t>2</w:t>
            </w:r>
            <w:r w:rsidRPr="00011F2B">
              <w:rPr>
                <w:rFonts w:eastAsia="宋体"/>
              </w:rPr>
              <w:t>&gt;</w:t>
            </w:r>
            <w:r w:rsidRPr="00011F2B">
              <w:rPr>
                <w:rFonts w:eastAsia="宋体"/>
              </w:rPr>
              <w:tab/>
              <w:t xml:space="preserve">consider this </w:t>
            </w:r>
            <w:r>
              <w:rPr>
                <w:rFonts w:eastAsia="宋体"/>
              </w:rPr>
              <w:t>configured</w:t>
            </w:r>
            <w:r w:rsidRPr="00226D31">
              <w:rPr>
                <w:rFonts w:eastAsia="宋体"/>
              </w:rPr>
              <w:t xml:space="preserve"> uplink grant as valid</w:t>
            </w:r>
            <w:r>
              <w:rPr>
                <w:rFonts w:eastAsia="宋体"/>
              </w:rPr>
              <w:t>.</w:t>
            </w:r>
          </w:p>
          <w:p w14:paraId="7DDE87E5" w14:textId="77777777" w:rsidR="00DC0758" w:rsidRDefault="00DC0758" w:rsidP="00DC0758">
            <w:pPr>
              <w:pStyle w:val="B1"/>
              <w:rPr>
                <w:lang w:eastAsia="zh-CN"/>
              </w:rPr>
            </w:pPr>
            <w:r>
              <w:rPr>
                <w:lang w:eastAsia="zh-CN"/>
              </w:rPr>
              <w:t>1&gt;</w:t>
            </w:r>
            <w:r>
              <w:rPr>
                <w:lang w:eastAsia="zh-CN"/>
              </w:rPr>
              <w:tab/>
              <w:t>else:</w:t>
            </w:r>
          </w:p>
          <w:p w14:paraId="5D1050A1" w14:textId="77777777" w:rsidR="00DC0758" w:rsidRPr="00226D31" w:rsidRDefault="00DC0758" w:rsidP="00DC0758">
            <w:pPr>
              <w:pStyle w:val="B2"/>
              <w:rPr>
                <w:rFonts w:eastAsia="宋体"/>
              </w:rPr>
            </w:pPr>
            <w:r>
              <w:rPr>
                <w:rFonts w:eastAsia="宋体"/>
              </w:rPr>
              <w:t>2</w:t>
            </w:r>
            <w:r w:rsidRPr="00011F2B">
              <w:rPr>
                <w:rFonts w:eastAsia="宋体"/>
              </w:rPr>
              <w:t>&gt;</w:t>
            </w:r>
            <w:r w:rsidRPr="00011F2B">
              <w:rPr>
                <w:rFonts w:eastAsia="宋体"/>
              </w:rPr>
              <w:tab/>
              <w:t xml:space="preserve">consider this </w:t>
            </w:r>
            <w:r>
              <w:rPr>
                <w:rFonts w:eastAsia="宋体"/>
              </w:rPr>
              <w:t>configured</w:t>
            </w:r>
            <w:r w:rsidRPr="00226D31">
              <w:rPr>
                <w:rFonts w:eastAsia="宋体"/>
              </w:rPr>
              <w:t xml:space="preserve"> uplink grant as not valid</w:t>
            </w:r>
            <w:r>
              <w:rPr>
                <w:rFonts w:eastAsia="宋体"/>
              </w:rPr>
              <w:t>;</w:t>
            </w:r>
          </w:p>
          <w:p w14:paraId="55F214D1" w14:textId="77777777" w:rsidR="00DC0758" w:rsidRPr="00226D31" w:rsidRDefault="00DC0758" w:rsidP="00DC0758">
            <w:pPr>
              <w:pStyle w:val="B2"/>
              <w:rPr>
                <w:rFonts w:eastAsia="宋体"/>
              </w:rPr>
            </w:pPr>
            <w:r>
              <w:rPr>
                <w:rFonts w:eastAsia="宋体"/>
              </w:rPr>
              <w:t>2</w:t>
            </w:r>
            <w:r w:rsidRPr="00011F2B">
              <w:rPr>
                <w:rFonts w:eastAsia="宋体"/>
              </w:rPr>
              <w:t>&gt;</w:t>
            </w:r>
            <w:r w:rsidRPr="00011F2B">
              <w:rPr>
                <w:rFonts w:eastAsia="宋体"/>
              </w:rPr>
              <w:tab/>
              <w:t>initiate Random Access procedure in clause 5.1.</w:t>
            </w:r>
          </w:p>
          <w:p w14:paraId="3F219612" w14:textId="55D76012" w:rsidR="00DC0758" w:rsidRPr="00DC0758" w:rsidRDefault="00DC0758" w:rsidP="00DC0758">
            <w:pPr>
              <w:pStyle w:val="NO"/>
              <w:rPr>
                <w:rFonts w:eastAsia="等线"/>
                <w:lang w:eastAsia="zh-CN"/>
              </w:rPr>
            </w:pPr>
            <w:r w:rsidRPr="00982682">
              <w:rPr>
                <w:lang w:eastAsia="ko-KR"/>
              </w:rPr>
              <w:t xml:space="preserve">NOTE </w:t>
            </w:r>
            <w:r>
              <w:rPr>
                <w:lang w:eastAsia="ko-KR"/>
              </w:rPr>
              <w:t>X</w:t>
            </w:r>
            <w:r w:rsidRPr="00982682">
              <w:rPr>
                <w:lang w:eastAsia="ko-KR"/>
              </w:rPr>
              <w:t>:</w:t>
            </w:r>
            <w:r w:rsidRPr="00982682">
              <w:rPr>
                <w:lang w:eastAsia="ko-KR"/>
              </w:rPr>
              <w:tab/>
              <w:t xml:space="preserve">When the UE determines if there is an SSB with SS-RSRP above </w:t>
            </w:r>
            <w:r>
              <w:rPr>
                <w:i/>
                <w:lang w:eastAsia="zh-CN"/>
              </w:rPr>
              <w:t>ntn</w:t>
            </w:r>
            <w:r w:rsidRPr="00982682">
              <w:rPr>
                <w:i/>
                <w:lang w:eastAsia="zh-CN"/>
              </w:rPr>
              <w:t>-RSRP-ThresholdSSB</w:t>
            </w:r>
            <w:r w:rsidRPr="00982682">
              <w:rPr>
                <w:lang w:eastAsia="ko-KR"/>
              </w:rPr>
              <w:t>, the UE uses the latest unfiltered L1-RSRP measurement.</w:t>
            </w:r>
          </w:p>
        </w:tc>
      </w:tr>
    </w:tbl>
    <w:p w14:paraId="05D88567" w14:textId="77777777" w:rsidR="00DC0758" w:rsidRDefault="00DC0758" w:rsidP="00DC0758"/>
    <w:p w14:paraId="4885D703" w14:textId="2CD2A934" w:rsidR="007611D5" w:rsidRPr="00DC0758" w:rsidRDefault="007611D5" w:rsidP="00DC0758">
      <w:r>
        <w:t xml:space="preserve">According to NTN MAC running CR, the beam is not indicated in NTN CG RACH-less. It is because in NTN the HO may happen without beam level measurement result, e.g., for the latency reduction. The network has no idea for indicating an exact beam. In that case, CG occasion and SSB’s mapping is provided to the UE, and </w:t>
      </w:r>
      <w:r w:rsidR="002C15DA">
        <w:t xml:space="preserve">the </w:t>
      </w:r>
      <w:r>
        <w:t xml:space="preserve">UE selects an SSB based on RSRP. But </w:t>
      </w:r>
      <w:r w:rsidR="00A051F7">
        <w:t xml:space="preserve">in mobile IAB, it is possible the network indicates an exact beam based on </w:t>
      </w:r>
      <w:r>
        <w:t>the beam level measurement result</w:t>
      </w:r>
      <w:r w:rsidR="00A051F7">
        <w:t xml:space="preserve"> or by other NW implementation </w:t>
      </w:r>
      <w:r w:rsidR="009E1E4F">
        <w:t xml:space="preserve">methods </w:t>
      </w:r>
      <w:r w:rsidR="00A051F7">
        <w:t>(e.g., beam reuse)</w:t>
      </w:r>
      <w:r>
        <w:t>.</w:t>
      </w:r>
    </w:p>
    <w:p w14:paraId="7FB0F6D3" w14:textId="6A29D86D" w:rsidR="00DC0758" w:rsidRDefault="00DC0758" w:rsidP="001F4D4D">
      <w:pPr>
        <w:ind w:left="1416" w:hangingChars="705" w:hanging="1416"/>
        <w:rPr>
          <w:b/>
        </w:rPr>
      </w:pPr>
      <w:r w:rsidRPr="00DC0758">
        <w:rPr>
          <w:b/>
        </w:rPr>
        <w:t>Observation 2</w:t>
      </w:r>
      <w:r w:rsidR="00260CA5">
        <w:rPr>
          <w:b/>
        </w:rPr>
        <w:t>:</w:t>
      </w:r>
      <w:r w:rsidR="00260CA5">
        <w:rPr>
          <w:b/>
        </w:rPr>
        <w:tab/>
      </w:r>
      <w:r w:rsidRPr="00DC0758">
        <w:rPr>
          <w:b/>
        </w:rPr>
        <w:t>In NTN, the beam is not indicated in CG RACH-less. While</w:t>
      </w:r>
      <w:r w:rsidR="009A6CE7">
        <w:rPr>
          <w:b/>
        </w:rPr>
        <w:t xml:space="preserve"> the</w:t>
      </w:r>
      <w:r w:rsidRPr="00DC0758">
        <w:rPr>
          <w:b/>
        </w:rPr>
        <w:t xml:space="preserve"> beam indication is possible in </w:t>
      </w:r>
      <w:r w:rsidR="009A6CE7">
        <w:rPr>
          <w:b/>
        </w:rPr>
        <w:t>CG RACH-less</w:t>
      </w:r>
      <w:r w:rsidR="009A6CE7" w:rsidRPr="00DC0758">
        <w:rPr>
          <w:b/>
        </w:rPr>
        <w:t xml:space="preserve"> </w:t>
      </w:r>
      <w:r w:rsidRPr="00DC0758">
        <w:rPr>
          <w:b/>
        </w:rPr>
        <w:t>case</w:t>
      </w:r>
      <w:r w:rsidR="009A6CE7">
        <w:rPr>
          <w:b/>
        </w:rPr>
        <w:t xml:space="preserve"> in mobile IAB</w:t>
      </w:r>
      <w:r w:rsidR="002575B1">
        <w:rPr>
          <w:b/>
        </w:rPr>
        <w:t xml:space="preserve">, based on the </w:t>
      </w:r>
      <w:r w:rsidR="002575B1" w:rsidRPr="00DC0758">
        <w:rPr>
          <w:b/>
        </w:rPr>
        <w:t>m</w:t>
      </w:r>
      <w:r w:rsidR="002575B1">
        <w:rPr>
          <w:b/>
        </w:rPr>
        <w:t>easurement result of beam level or other NW implementation.</w:t>
      </w:r>
    </w:p>
    <w:p w14:paraId="341C6747" w14:textId="52635AE5" w:rsidR="00A051F7" w:rsidRDefault="00A051F7" w:rsidP="00DC0758">
      <w:r>
        <w:t>The CG configuration in NTN RRC running CR is defined as follows:</w:t>
      </w:r>
    </w:p>
    <w:tbl>
      <w:tblPr>
        <w:tblStyle w:val="af9"/>
        <w:tblW w:w="0" w:type="auto"/>
        <w:tblLook w:val="04A0" w:firstRow="1" w:lastRow="0" w:firstColumn="1" w:lastColumn="0" w:noHBand="0" w:noVBand="1"/>
      </w:tblPr>
      <w:tblGrid>
        <w:gridCol w:w="9628"/>
      </w:tblGrid>
      <w:tr w:rsidR="00A051F7" w14:paraId="04827376" w14:textId="77777777" w:rsidTr="006F3864">
        <w:tc>
          <w:tcPr>
            <w:tcW w:w="9628" w:type="dxa"/>
          </w:tcPr>
          <w:p w14:paraId="5693F3FD" w14:textId="77777777" w:rsidR="00A051F7" w:rsidRDefault="00A051F7" w:rsidP="00A051F7">
            <w:pPr>
              <w:pStyle w:val="PL"/>
            </w:pPr>
            <w:r w:rsidRPr="001F4D4D">
              <w:rPr>
                <w:highlight w:val="yellow"/>
              </w:rPr>
              <w:t>CG-NTN-RACH-less-Configuration-r18</w:t>
            </w:r>
            <w:r>
              <w:t xml:space="preserve"> ::= </w:t>
            </w:r>
            <w:r>
              <w:rPr>
                <w:color w:val="993366"/>
              </w:rPr>
              <w:t>SEQUENCE</w:t>
            </w:r>
            <w:r>
              <w:t xml:space="preserve"> {</w:t>
            </w:r>
          </w:p>
          <w:p w14:paraId="05041099" w14:textId="77777777" w:rsidR="00A051F7" w:rsidRDefault="00A051F7" w:rsidP="00A051F7">
            <w:pPr>
              <w:pStyle w:val="PL"/>
            </w:pPr>
            <w:r>
              <w:t xml:space="preserve">    ntn-RSRP-ThresholdSSB-r18   RSRP-Range,</w:t>
            </w:r>
          </w:p>
          <w:p w14:paraId="07FD6F57" w14:textId="77777777" w:rsidR="00A051F7" w:rsidRDefault="00A051F7" w:rsidP="00A051F7">
            <w:pPr>
              <w:pStyle w:val="PL"/>
              <w:rPr>
                <w:rFonts w:eastAsia="宋体"/>
                <w:color w:val="808080"/>
              </w:rPr>
            </w:pPr>
            <w:r>
              <w:t xml:space="preserve">    </w:t>
            </w:r>
            <w:r>
              <w:rPr>
                <w:rFonts w:eastAsia="宋体"/>
              </w:rPr>
              <w:t>ntn-SSB-PerCG-PUSCH-r18</w:t>
            </w:r>
            <w:r>
              <w:t xml:space="preserve">     </w:t>
            </w:r>
            <w:r>
              <w:rPr>
                <w:color w:val="993366"/>
              </w:rPr>
              <w:t>ENUMERATED</w:t>
            </w:r>
            <w:r>
              <w:rPr>
                <w:rFonts w:eastAsia="宋体"/>
              </w:rPr>
              <w:t xml:space="preserve"> {oneEighth, oneFourth, half, one, two, four, eight, sixteen}</w:t>
            </w:r>
            <w:r>
              <w:t>,</w:t>
            </w:r>
          </w:p>
          <w:p w14:paraId="20A50119" w14:textId="77777777" w:rsidR="00A051F7" w:rsidRDefault="00A051F7" w:rsidP="00A051F7">
            <w:pPr>
              <w:pStyle w:val="PL"/>
            </w:pPr>
            <w:r>
              <w:t xml:space="preserve">    ntn-SSB-Subset-r18          CHOICE {</w:t>
            </w:r>
          </w:p>
          <w:p w14:paraId="7527E12A" w14:textId="77777777" w:rsidR="00A051F7" w:rsidRDefault="00A051F7" w:rsidP="00A051F7">
            <w:pPr>
              <w:pStyle w:val="PL"/>
            </w:pPr>
            <w:r>
              <w:t xml:space="preserve">        shortBitmap-r18             BIT STRING (SIZE (4)),</w:t>
            </w:r>
          </w:p>
          <w:p w14:paraId="15F5F43B" w14:textId="77777777" w:rsidR="00A051F7" w:rsidRDefault="00A051F7" w:rsidP="00A051F7">
            <w:pPr>
              <w:pStyle w:val="PL"/>
            </w:pPr>
            <w:r>
              <w:t xml:space="preserve">        mediumBitmap-r18            BIT STRING (SIZE (8)),</w:t>
            </w:r>
          </w:p>
          <w:p w14:paraId="17A74B89" w14:textId="77777777" w:rsidR="00A051F7" w:rsidRDefault="00A051F7" w:rsidP="00A051F7">
            <w:pPr>
              <w:pStyle w:val="PL"/>
            </w:pPr>
            <w:r>
              <w:t xml:space="preserve">        longBitmap-r18              BIT STRING (SIZE (64))</w:t>
            </w:r>
          </w:p>
          <w:p w14:paraId="080980EB" w14:textId="77777777" w:rsidR="00A051F7" w:rsidRDefault="00A051F7" w:rsidP="00A051F7">
            <w:pPr>
              <w:pStyle w:val="PL"/>
            </w:pPr>
            <w:r>
              <w:t xml:space="preserve">    },</w:t>
            </w:r>
          </w:p>
          <w:p w14:paraId="6FA3690C" w14:textId="77777777" w:rsidR="00A051F7" w:rsidRDefault="00A051F7" w:rsidP="00A051F7">
            <w:pPr>
              <w:pStyle w:val="PL"/>
            </w:pPr>
            <w:r>
              <w:t xml:space="preserve">    ntn-DMRS-Ports-r18          CHOICE {</w:t>
            </w:r>
          </w:p>
          <w:p w14:paraId="6B01DB9B" w14:textId="77777777" w:rsidR="00A051F7" w:rsidRDefault="00A051F7" w:rsidP="00A051F7">
            <w:pPr>
              <w:pStyle w:val="PL"/>
            </w:pPr>
            <w:r>
              <w:t xml:space="preserve">       dmrsType1-r18                BIT STRING (SIZE (8)),</w:t>
            </w:r>
          </w:p>
          <w:p w14:paraId="4152B907" w14:textId="77777777" w:rsidR="00A051F7" w:rsidRDefault="00A051F7" w:rsidP="00A051F7">
            <w:pPr>
              <w:pStyle w:val="PL"/>
            </w:pPr>
            <w:r>
              <w:t xml:space="preserve">       dmrsType2-r18                BIT STRING (SIZE (12))</w:t>
            </w:r>
          </w:p>
          <w:p w14:paraId="1D9114CA" w14:textId="77777777" w:rsidR="00A051F7" w:rsidRDefault="00A051F7" w:rsidP="00A051F7">
            <w:pPr>
              <w:pStyle w:val="PL"/>
            </w:pPr>
            <w:r>
              <w:t xml:space="preserve">    }                                                                                                    </w:t>
            </w:r>
            <w:r>
              <w:rPr>
                <w:color w:val="993366"/>
              </w:rPr>
              <w:t xml:space="preserve">OPTIONAL, </w:t>
            </w:r>
            <w:r>
              <w:t xml:space="preserve">  </w:t>
            </w:r>
            <w:r>
              <w:rPr>
                <w:color w:val="808080"/>
              </w:rPr>
              <w:t>-- Need R</w:t>
            </w:r>
          </w:p>
          <w:p w14:paraId="61D75BA7" w14:textId="77777777" w:rsidR="00A051F7" w:rsidRPr="007555A9" w:rsidRDefault="00A051F7" w:rsidP="00A051F7">
            <w:pPr>
              <w:pStyle w:val="PL"/>
              <w:rPr>
                <w:lang w:val="en-US"/>
              </w:rPr>
            </w:pPr>
            <w:r>
              <w:t xml:space="preserve">    ntn-NrofDMRS-Sequences-r18      INTEGER (1..2)                                                       </w:t>
            </w:r>
            <w:r>
              <w:rPr>
                <w:color w:val="993366"/>
              </w:rPr>
              <w:t>OPTIONAL</w:t>
            </w:r>
            <w:r>
              <w:t xml:space="preserve">    </w:t>
            </w:r>
            <w:r>
              <w:rPr>
                <w:color w:val="808080"/>
              </w:rPr>
              <w:t>-- Need R</w:t>
            </w:r>
          </w:p>
          <w:p w14:paraId="6C3D3E0D" w14:textId="78064738" w:rsidR="00A051F7" w:rsidRPr="001F4D4D" w:rsidRDefault="00A051F7" w:rsidP="001F4D4D">
            <w:pPr>
              <w:pStyle w:val="PL"/>
            </w:pPr>
            <w:r>
              <w:rPr>
                <w:lang w:val="en-US"/>
              </w:rPr>
              <w:t>}</w:t>
            </w:r>
          </w:p>
        </w:tc>
      </w:tr>
    </w:tbl>
    <w:p w14:paraId="0AE24BB9" w14:textId="77777777" w:rsidR="00A051F7" w:rsidRDefault="00A051F7" w:rsidP="00DC0758"/>
    <w:p w14:paraId="23E73937" w14:textId="1F35E0AA" w:rsidR="00A051F7" w:rsidRDefault="00A051F7" w:rsidP="00DC0758">
      <w:r>
        <w:lastRenderedPageBreak/>
        <w:t xml:space="preserve">We see that the </w:t>
      </w:r>
      <w:r w:rsidR="008F5923">
        <w:t>candidate beams</w:t>
      </w:r>
      <w:r>
        <w:t xml:space="preserve"> can be given by a bitmap of SSB subset. If only one SSB is included, it</w:t>
      </w:r>
      <w:r w:rsidR="00B54794">
        <w:t xml:space="preserve"> can be regarded as</w:t>
      </w:r>
      <w:r>
        <w:t xml:space="preserve"> a kind of explicit beam indication.</w:t>
      </w:r>
      <w:r w:rsidR="00B54794">
        <w:t xml:space="preserve"> But that should be discussed and confirmed</w:t>
      </w:r>
      <w:r w:rsidR="008F5923">
        <w:t xml:space="preserve"> by RAN2</w:t>
      </w:r>
      <w:r w:rsidR="00B54794">
        <w:t>.</w:t>
      </w:r>
    </w:p>
    <w:p w14:paraId="64442D89" w14:textId="5A58342A" w:rsidR="008F5923" w:rsidRPr="001F4D4D" w:rsidRDefault="008F5923" w:rsidP="001F4D4D">
      <w:pPr>
        <w:ind w:left="1416" w:hangingChars="705" w:hanging="1416"/>
        <w:rPr>
          <w:b/>
        </w:rPr>
      </w:pPr>
      <w:r w:rsidRPr="00DC0758">
        <w:rPr>
          <w:b/>
        </w:rPr>
        <w:t xml:space="preserve">Observation </w:t>
      </w:r>
      <w:r>
        <w:rPr>
          <w:b/>
        </w:rPr>
        <w:t>3:</w:t>
      </w:r>
      <w:r>
        <w:rPr>
          <w:b/>
        </w:rPr>
        <w:tab/>
        <w:t>In NTN CG RACH-less, the candidate beam</w:t>
      </w:r>
      <w:r w:rsidR="009E1E4F">
        <w:rPr>
          <w:b/>
        </w:rPr>
        <w:t>s are</w:t>
      </w:r>
      <w:r>
        <w:rPr>
          <w:b/>
        </w:rPr>
        <w:t xml:space="preserve"> given by a bitmap of SSB subset. It is possible only one beam is included.</w:t>
      </w:r>
    </w:p>
    <w:p w14:paraId="68EA48A0" w14:textId="6C1AE531" w:rsidR="007611D5" w:rsidRDefault="007611D5" w:rsidP="00DC0758">
      <w:r>
        <w:t>Based on the observations above, there exist two ways forward for the CG based RACH-less for mobile IAB.</w:t>
      </w:r>
    </w:p>
    <w:p w14:paraId="5ED77B37" w14:textId="35C77C40" w:rsidR="007611D5" w:rsidRPr="007611D5" w:rsidRDefault="007611D5" w:rsidP="00B54794">
      <w:pPr>
        <w:pStyle w:val="af8"/>
        <w:numPr>
          <w:ilvl w:val="0"/>
          <w:numId w:val="25"/>
        </w:numPr>
        <w:spacing w:after="180"/>
        <w:rPr>
          <w:rFonts w:ascii="Times New Roman" w:hAnsi="Times New Roman"/>
          <w:sz w:val="20"/>
        </w:rPr>
      </w:pPr>
      <w:r w:rsidRPr="007611D5">
        <w:rPr>
          <w:rFonts w:ascii="Times New Roman" w:hAnsi="Times New Roman"/>
          <w:b/>
          <w:sz w:val="20"/>
        </w:rPr>
        <w:t>WF1:</w:t>
      </w:r>
      <w:r w:rsidRPr="007611D5">
        <w:rPr>
          <w:rFonts w:ascii="Times New Roman" w:hAnsi="Times New Roman"/>
          <w:sz w:val="20"/>
        </w:rPr>
        <w:t xml:space="preserve"> CG is not supported by mobile IAB RACH-less.</w:t>
      </w:r>
      <w:r w:rsidR="00B54794">
        <w:rPr>
          <w:rFonts w:ascii="Times New Roman" w:hAnsi="Times New Roman"/>
          <w:sz w:val="20"/>
        </w:rPr>
        <w:t xml:space="preserve"> </w:t>
      </w:r>
      <w:r w:rsidR="008F5923">
        <w:rPr>
          <w:rFonts w:ascii="Times New Roman" w:hAnsi="Times New Roman"/>
          <w:sz w:val="20"/>
        </w:rPr>
        <w:t>That is reasonable, because i</w:t>
      </w:r>
      <w:r w:rsidR="00B54794" w:rsidRPr="00B54794">
        <w:rPr>
          <w:rFonts w:ascii="Times New Roman" w:hAnsi="Times New Roman"/>
          <w:sz w:val="20"/>
        </w:rPr>
        <w:t>n mobile IAB the beam is always decided/known by the target cell and DG is al</w:t>
      </w:r>
      <w:r w:rsidR="00B54794">
        <w:rPr>
          <w:rFonts w:ascii="Times New Roman" w:hAnsi="Times New Roman"/>
          <w:sz w:val="20"/>
        </w:rPr>
        <w:t>ways applicable, and t</w:t>
      </w:r>
      <w:r w:rsidR="00B54794" w:rsidRPr="00B54794">
        <w:rPr>
          <w:rFonts w:ascii="Times New Roman" w:hAnsi="Times New Roman"/>
          <w:sz w:val="20"/>
        </w:rPr>
        <w:t>here is also no motivation of latency reduction as NTN to support CG.</w:t>
      </w:r>
    </w:p>
    <w:p w14:paraId="3843B360" w14:textId="77777777" w:rsidR="007611D5" w:rsidRDefault="007611D5" w:rsidP="007611D5">
      <w:pPr>
        <w:pStyle w:val="af8"/>
        <w:numPr>
          <w:ilvl w:val="0"/>
          <w:numId w:val="25"/>
        </w:numPr>
        <w:spacing w:after="180"/>
        <w:rPr>
          <w:rFonts w:ascii="Times New Roman" w:hAnsi="Times New Roman"/>
          <w:sz w:val="20"/>
        </w:rPr>
      </w:pPr>
      <w:r w:rsidRPr="007611D5">
        <w:rPr>
          <w:rFonts w:ascii="Times New Roman" w:hAnsi="Times New Roman"/>
          <w:b/>
          <w:sz w:val="20"/>
        </w:rPr>
        <w:t xml:space="preserve">WF2: </w:t>
      </w:r>
      <w:r w:rsidRPr="007611D5">
        <w:rPr>
          <w:rFonts w:ascii="Times New Roman" w:hAnsi="Times New Roman"/>
          <w:sz w:val="20"/>
        </w:rPr>
        <w:t xml:space="preserve">CG is supported by mobile IAB RACH-less and is different from NTN in the following two aspects: </w:t>
      </w:r>
    </w:p>
    <w:p w14:paraId="3312E2DD" w14:textId="05D5E26C" w:rsidR="007611D5" w:rsidRDefault="007611D5" w:rsidP="007611D5">
      <w:pPr>
        <w:pStyle w:val="af8"/>
        <w:numPr>
          <w:ilvl w:val="1"/>
          <w:numId w:val="24"/>
        </w:numPr>
        <w:spacing w:after="180"/>
        <w:rPr>
          <w:rFonts w:ascii="Times New Roman" w:hAnsi="Times New Roman"/>
          <w:sz w:val="20"/>
        </w:rPr>
      </w:pPr>
      <w:r w:rsidRPr="007611D5">
        <w:rPr>
          <w:rFonts w:ascii="Times New Roman" w:hAnsi="Times New Roman"/>
          <w:sz w:val="20"/>
        </w:rPr>
        <w:t xml:space="preserve">HO </w:t>
      </w:r>
      <w:r>
        <w:rPr>
          <w:rFonts w:ascii="Times New Roman" w:hAnsi="Times New Roman"/>
          <w:sz w:val="20"/>
        </w:rPr>
        <w:t>CMD</w:t>
      </w:r>
      <w:r w:rsidRPr="007611D5">
        <w:rPr>
          <w:rFonts w:ascii="Times New Roman" w:hAnsi="Times New Roman"/>
          <w:sz w:val="20"/>
        </w:rPr>
        <w:t xml:space="preserve"> always include the beam even for CG, which means the association between SS</w:t>
      </w:r>
      <w:r>
        <w:rPr>
          <w:rFonts w:ascii="Times New Roman" w:hAnsi="Times New Roman"/>
          <w:sz w:val="20"/>
        </w:rPr>
        <w:t>B and CG occasion is not needed.</w:t>
      </w:r>
    </w:p>
    <w:p w14:paraId="008390D6" w14:textId="6CBE68FE" w:rsidR="007611D5" w:rsidRDefault="00B54794" w:rsidP="007611D5">
      <w:pPr>
        <w:pStyle w:val="af8"/>
        <w:numPr>
          <w:ilvl w:val="1"/>
          <w:numId w:val="24"/>
        </w:numPr>
        <w:spacing w:after="180"/>
        <w:rPr>
          <w:rFonts w:ascii="Times New Roman" w:hAnsi="Times New Roman"/>
          <w:sz w:val="20"/>
        </w:rPr>
      </w:pPr>
      <w:r>
        <w:rPr>
          <w:rFonts w:ascii="Times New Roman" w:hAnsi="Times New Roman"/>
          <w:sz w:val="20"/>
        </w:rPr>
        <w:t>To support indicating only one beam in CG configuration for RACH-less</w:t>
      </w:r>
      <w:r w:rsidR="007611D5" w:rsidRPr="007611D5">
        <w:rPr>
          <w:rFonts w:ascii="Times New Roman" w:hAnsi="Times New Roman"/>
          <w:sz w:val="20"/>
        </w:rPr>
        <w:t>.</w:t>
      </w:r>
    </w:p>
    <w:p w14:paraId="795C089F" w14:textId="43C9F438" w:rsidR="007611D5" w:rsidRDefault="007611D5" w:rsidP="007611D5">
      <w:r>
        <w:t xml:space="preserve">It is proposed: </w:t>
      </w:r>
    </w:p>
    <w:p w14:paraId="424F8D86" w14:textId="36FFDB3B" w:rsidR="002575B1" w:rsidRDefault="007611D5" w:rsidP="007611D5">
      <w:pPr>
        <w:rPr>
          <w:b/>
        </w:rPr>
      </w:pPr>
      <w:r w:rsidRPr="007611D5">
        <w:rPr>
          <w:b/>
        </w:rPr>
        <w:t>Proposal</w:t>
      </w:r>
      <w:r w:rsidR="002575B1">
        <w:rPr>
          <w:b/>
        </w:rPr>
        <w:t xml:space="preserve"> 1</w:t>
      </w:r>
      <w:r w:rsidRPr="007611D5">
        <w:rPr>
          <w:b/>
        </w:rPr>
        <w:t>:</w:t>
      </w:r>
      <w:r w:rsidR="002575B1">
        <w:rPr>
          <w:b/>
        </w:rPr>
        <w:t xml:space="preserve"> As to the difference f</w:t>
      </w:r>
      <w:r w:rsidR="006A501B">
        <w:rPr>
          <w:b/>
        </w:rPr>
        <w:t>rom NTN RACH-less, following WFs</w:t>
      </w:r>
      <w:r w:rsidR="002575B1">
        <w:rPr>
          <w:b/>
        </w:rPr>
        <w:t xml:space="preserve"> can be considered for mobile IAB:</w:t>
      </w:r>
    </w:p>
    <w:p w14:paraId="5041A38A" w14:textId="659B362F" w:rsidR="007611D5" w:rsidRPr="001F4D4D" w:rsidRDefault="002575B1" w:rsidP="001F4D4D">
      <w:pPr>
        <w:pStyle w:val="af8"/>
        <w:numPr>
          <w:ilvl w:val="0"/>
          <w:numId w:val="27"/>
        </w:numPr>
        <w:spacing w:after="180"/>
        <w:rPr>
          <w:b/>
        </w:rPr>
      </w:pPr>
      <w:r w:rsidRPr="001F4D4D">
        <w:rPr>
          <w:rFonts w:ascii="Times New Roman" w:hAnsi="Times New Roman"/>
          <w:b/>
          <w:sz w:val="20"/>
          <w:szCs w:val="20"/>
          <w:lang w:val="en-GB" w:eastAsia="en-GB"/>
        </w:rPr>
        <w:t>WF1:</w:t>
      </w:r>
      <w:r w:rsidR="007611D5" w:rsidRPr="001F4D4D">
        <w:rPr>
          <w:rFonts w:ascii="Times New Roman" w:hAnsi="Times New Roman"/>
          <w:b/>
          <w:sz w:val="20"/>
          <w:szCs w:val="20"/>
          <w:lang w:val="en-GB" w:eastAsia="en-GB"/>
        </w:rPr>
        <w:t xml:space="preserve"> </w:t>
      </w:r>
      <w:r w:rsidR="000D67E9">
        <w:rPr>
          <w:rFonts w:ascii="Times New Roman" w:hAnsi="Times New Roman"/>
          <w:b/>
          <w:sz w:val="20"/>
          <w:szCs w:val="20"/>
          <w:lang w:val="en-GB" w:eastAsia="en-GB"/>
        </w:rPr>
        <w:t>T</w:t>
      </w:r>
      <w:r w:rsidRPr="001F4D4D">
        <w:rPr>
          <w:rFonts w:ascii="Times New Roman" w:hAnsi="Times New Roman"/>
          <w:b/>
          <w:sz w:val="20"/>
          <w:szCs w:val="20"/>
          <w:lang w:val="en-GB" w:eastAsia="en-GB"/>
        </w:rPr>
        <w:t xml:space="preserve">he </w:t>
      </w:r>
      <w:r w:rsidR="007611D5" w:rsidRPr="001F4D4D">
        <w:rPr>
          <w:rFonts w:ascii="Times New Roman" w:hAnsi="Times New Roman"/>
          <w:b/>
          <w:sz w:val="20"/>
          <w:szCs w:val="20"/>
          <w:lang w:val="en-GB" w:eastAsia="en-GB"/>
        </w:rPr>
        <w:t>CG</w:t>
      </w:r>
      <w:r w:rsidRPr="001F4D4D">
        <w:rPr>
          <w:rFonts w:ascii="Times New Roman" w:hAnsi="Times New Roman"/>
          <w:b/>
          <w:sz w:val="20"/>
          <w:szCs w:val="20"/>
          <w:lang w:val="en-GB" w:eastAsia="en-GB"/>
        </w:rPr>
        <w:t xml:space="preserve">-based RACH-less </w:t>
      </w:r>
      <w:r w:rsidR="007611D5" w:rsidRPr="001F4D4D">
        <w:rPr>
          <w:rFonts w:ascii="Times New Roman" w:hAnsi="Times New Roman"/>
          <w:b/>
          <w:sz w:val="20"/>
          <w:szCs w:val="20"/>
          <w:lang w:val="en-GB" w:eastAsia="en-GB"/>
        </w:rPr>
        <w:t>is not supported by mobile IAB RACH-less, since the beam is always decided/known by the target cell and there is no latency reduction motivation</w:t>
      </w:r>
      <w:r w:rsidRPr="001F4D4D">
        <w:rPr>
          <w:rFonts w:ascii="Times New Roman" w:hAnsi="Times New Roman"/>
          <w:b/>
          <w:sz w:val="20"/>
          <w:szCs w:val="20"/>
          <w:lang w:val="en-GB" w:eastAsia="en-GB"/>
        </w:rPr>
        <w:t>;</w:t>
      </w:r>
    </w:p>
    <w:p w14:paraId="0B4A775D" w14:textId="3F14265E" w:rsidR="00B54794" w:rsidRDefault="00B54794" w:rsidP="001F4D4D">
      <w:pPr>
        <w:pStyle w:val="Sub-bulletofproposal"/>
      </w:pPr>
      <w:r>
        <w:t>WF2: The CG-based RACH-less is supported by mobile IAB RACH-less, by the following two options:</w:t>
      </w:r>
    </w:p>
    <w:p w14:paraId="5DF67955" w14:textId="20883116" w:rsidR="002575B1" w:rsidRDefault="002575B1" w:rsidP="001F4D4D">
      <w:pPr>
        <w:pStyle w:val="Sub-bulletofproposal"/>
        <w:numPr>
          <w:ilvl w:val="1"/>
          <w:numId w:val="27"/>
        </w:numPr>
      </w:pPr>
      <w:r w:rsidRPr="002575B1">
        <w:t>WF2</w:t>
      </w:r>
      <w:r w:rsidR="00322872">
        <w:t>a</w:t>
      </w:r>
      <w:r w:rsidRPr="002575B1">
        <w:t xml:space="preserve">: The handover command can also </w:t>
      </w:r>
      <w:r w:rsidR="00322872">
        <w:t xml:space="preserve">explicitly </w:t>
      </w:r>
      <w:r w:rsidRPr="002575B1">
        <w:t>indicate the beam</w:t>
      </w:r>
      <w:r w:rsidR="00CF62A9">
        <w:t>,</w:t>
      </w:r>
      <w:r w:rsidRPr="002575B1">
        <w:t xml:space="preserve"> </w:t>
      </w:r>
      <w:r w:rsidR="00F41D91" w:rsidRPr="00A051F7">
        <w:t>even for the CG-based RACH-less</w:t>
      </w:r>
      <w:r w:rsidR="00F41D91">
        <w:t>, which will be</w:t>
      </w:r>
      <w:r w:rsidR="00413C46">
        <w:t xml:space="preserve"> directly</w:t>
      </w:r>
      <w:r w:rsidR="00F41D91">
        <w:t xml:space="preserve"> used by UE</w:t>
      </w:r>
      <w:r w:rsidR="006C1934">
        <w:t>.</w:t>
      </w:r>
    </w:p>
    <w:p w14:paraId="219C6FFD" w14:textId="4D4D3F2B" w:rsidR="00322872" w:rsidRPr="00A051F7" w:rsidRDefault="00322872" w:rsidP="001F4D4D">
      <w:pPr>
        <w:pStyle w:val="Sub-bulletofproposal"/>
        <w:numPr>
          <w:ilvl w:val="1"/>
          <w:numId w:val="27"/>
        </w:numPr>
      </w:pPr>
      <w:r w:rsidRPr="001E072B">
        <w:t>WF2</w:t>
      </w:r>
      <w:r>
        <w:t>b</w:t>
      </w:r>
      <w:r w:rsidRPr="001E072B">
        <w:t xml:space="preserve">: </w:t>
      </w:r>
      <w:r w:rsidR="00201F0B">
        <w:t>RAN2 confirm</w:t>
      </w:r>
      <w:r w:rsidR="00B54794">
        <w:t>s</w:t>
      </w:r>
      <w:r w:rsidR="00201F0B">
        <w:t xml:space="preserve"> to s</w:t>
      </w:r>
      <w:r>
        <w:t>upport</w:t>
      </w:r>
      <w:r w:rsidR="008A5D15">
        <w:t xml:space="preserve"> </w:t>
      </w:r>
      <w:r w:rsidR="00ED6E20">
        <w:t xml:space="preserve">the case </w:t>
      </w:r>
      <w:r w:rsidR="00BE6EC4">
        <w:t>of only</w:t>
      </w:r>
      <w:r w:rsidR="00ED6E20">
        <w:t xml:space="preserve"> </w:t>
      </w:r>
      <w:r w:rsidR="008A5D15">
        <w:t>one</w:t>
      </w:r>
      <w:r>
        <w:t xml:space="preserve"> beam associated with the CG occasion</w:t>
      </w:r>
      <w:r w:rsidR="000C2641">
        <w:t>s</w:t>
      </w:r>
      <w:r>
        <w:t xml:space="preserve"> in</w:t>
      </w:r>
      <w:r w:rsidRPr="00322872">
        <w:t xml:space="preserve"> </w:t>
      </w:r>
      <w:r w:rsidR="00BE6EC4">
        <w:t xml:space="preserve">the </w:t>
      </w:r>
      <w:r w:rsidRPr="001E072B">
        <w:t>CG</w:t>
      </w:r>
      <w:r>
        <w:t xml:space="preserve"> configuration for</w:t>
      </w:r>
      <w:r w:rsidRPr="001E072B">
        <w:t xml:space="preserve"> RACH-less</w:t>
      </w:r>
      <w:r>
        <w:t>.</w:t>
      </w:r>
    </w:p>
    <w:bookmarkEnd w:id="3"/>
    <w:bookmarkEnd w:id="4"/>
    <w:bookmarkEnd w:id="5"/>
    <w:p w14:paraId="088961FA" w14:textId="284A82FC" w:rsidR="003C7F86" w:rsidRPr="00B139C2" w:rsidRDefault="00B139C2" w:rsidP="00B139C2">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00405D72">
        <w:rPr>
          <w:rFonts w:ascii="Arial" w:eastAsia="Malgun Gothic" w:hAnsi="Arial"/>
          <w:sz w:val="36"/>
          <w:lang w:eastAsia="de-DE"/>
        </w:rPr>
        <w:t>Conclusion</w:t>
      </w:r>
    </w:p>
    <w:p w14:paraId="09223AC5" w14:textId="3B61C4AF" w:rsidR="00405D72" w:rsidRDefault="00405D72" w:rsidP="00405D72">
      <w:r w:rsidRPr="00E30475">
        <w:t xml:space="preserve">This contribution </w:t>
      </w:r>
      <w:r w:rsidR="004372AD">
        <w:t xml:space="preserve">studies the differences </w:t>
      </w:r>
      <w:r w:rsidR="008D458B">
        <w:t xml:space="preserve">between the RACH-less for </w:t>
      </w:r>
      <w:r w:rsidR="004372AD">
        <w:t xml:space="preserve">mobile IAB and </w:t>
      </w:r>
      <w:r w:rsidR="008D458B">
        <w:t xml:space="preserve">for </w:t>
      </w:r>
      <w:r w:rsidR="004372AD">
        <w:t>NTN based on the current NTN MAC running CR. It is observed and proposed:</w:t>
      </w:r>
    </w:p>
    <w:p w14:paraId="7792ED0C" w14:textId="77777777" w:rsidR="004372AD" w:rsidRDefault="004372AD" w:rsidP="004372AD">
      <w:pPr>
        <w:rPr>
          <w:b/>
        </w:rPr>
      </w:pPr>
      <w:r w:rsidRPr="00DC0758">
        <w:rPr>
          <w:b/>
        </w:rPr>
        <w:t>Observation 1: Mobile IAB only supports the same TA case, which is different with NTN.</w:t>
      </w:r>
    </w:p>
    <w:p w14:paraId="287AB8AA" w14:textId="30006B2B" w:rsidR="009E1E4F" w:rsidRDefault="009E1E4F" w:rsidP="001F4D4D">
      <w:pPr>
        <w:ind w:left="1416" w:hangingChars="705" w:hanging="1416"/>
        <w:rPr>
          <w:b/>
        </w:rPr>
      </w:pPr>
      <w:r w:rsidRPr="00DC0758">
        <w:rPr>
          <w:b/>
        </w:rPr>
        <w:t>Observation 2</w:t>
      </w:r>
      <w:r>
        <w:rPr>
          <w:b/>
        </w:rPr>
        <w:t>:</w:t>
      </w:r>
      <w:r>
        <w:rPr>
          <w:b/>
        </w:rPr>
        <w:tab/>
      </w:r>
      <w:r w:rsidRPr="00DC0758">
        <w:rPr>
          <w:b/>
        </w:rPr>
        <w:t>In NTN, the beam is not indicated in CG RACH-less. While</w:t>
      </w:r>
      <w:r>
        <w:rPr>
          <w:b/>
        </w:rPr>
        <w:t xml:space="preserve"> the</w:t>
      </w:r>
      <w:r w:rsidRPr="00DC0758">
        <w:rPr>
          <w:b/>
        </w:rPr>
        <w:t xml:space="preserve"> beam indication is possible in </w:t>
      </w:r>
      <w:r>
        <w:rPr>
          <w:b/>
        </w:rPr>
        <w:t>CG RACH-less</w:t>
      </w:r>
      <w:r w:rsidRPr="00DC0758">
        <w:rPr>
          <w:b/>
        </w:rPr>
        <w:t xml:space="preserve"> case</w:t>
      </w:r>
      <w:r>
        <w:rPr>
          <w:b/>
        </w:rPr>
        <w:t xml:space="preserve"> in mobile IAB, based on the </w:t>
      </w:r>
      <w:r w:rsidRPr="00DC0758">
        <w:rPr>
          <w:b/>
        </w:rPr>
        <w:t>m</w:t>
      </w:r>
      <w:r>
        <w:rPr>
          <w:b/>
        </w:rPr>
        <w:t>easurement result of beam level or other NW implementation.</w:t>
      </w:r>
    </w:p>
    <w:p w14:paraId="070B1951" w14:textId="77777777" w:rsidR="009E1E4F" w:rsidRPr="001F4D4D" w:rsidRDefault="009E1E4F" w:rsidP="001F4D4D">
      <w:pPr>
        <w:ind w:left="1416" w:hangingChars="705" w:hanging="1416"/>
        <w:rPr>
          <w:b/>
        </w:rPr>
      </w:pPr>
      <w:r w:rsidRPr="00DC0758">
        <w:rPr>
          <w:b/>
        </w:rPr>
        <w:t xml:space="preserve">Observation </w:t>
      </w:r>
      <w:r>
        <w:rPr>
          <w:b/>
        </w:rPr>
        <w:t>3:</w:t>
      </w:r>
      <w:r>
        <w:rPr>
          <w:b/>
        </w:rPr>
        <w:tab/>
        <w:t>In NTN CG RACH-less, the candidate beams are given by a bitmap of SSB subset. It is possible only one beam is included.</w:t>
      </w:r>
    </w:p>
    <w:p w14:paraId="679639C5" w14:textId="77777777" w:rsidR="00A86A7B" w:rsidRDefault="00A86A7B" w:rsidP="00A86A7B">
      <w:pPr>
        <w:rPr>
          <w:b/>
        </w:rPr>
      </w:pPr>
      <w:r w:rsidRPr="007611D5">
        <w:rPr>
          <w:b/>
        </w:rPr>
        <w:t>Proposal</w:t>
      </w:r>
      <w:r>
        <w:rPr>
          <w:b/>
        </w:rPr>
        <w:t xml:space="preserve"> 1</w:t>
      </w:r>
      <w:r w:rsidRPr="007611D5">
        <w:rPr>
          <w:b/>
        </w:rPr>
        <w:t>:</w:t>
      </w:r>
      <w:r>
        <w:rPr>
          <w:b/>
        </w:rPr>
        <w:t xml:space="preserve"> As to the difference from NTN RACH-less, following WFs can be considered for mobile IAB:</w:t>
      </w:r>
    </w:p>
    <w:p w14:paraId="09331C34" w14:textId="77777777" w:rsidR="00A86A7B" w:rsidRPr="001F4D4D" w:rsidRDefault="00A86A7B" w:rsidP="00A86A7B">
      <w:pPr>
        <w:pStyle w:val="af8"/>
        <w:numPr>
          <w:ilvl w:val="0"/>
          <w:numId w:val="27"/>
        </w:numPr>
        <w:spacing w:after="180"/>
        <w:rPr>
          <w:b/>
        </w:rPr>
      </w:pPr>
      <w:r w:rsidRPr="001F4D4D">
        <w:rPr>
          <w:rFonts w:ascii="Times New Roman" w:hAnsi="Times New Roman"/>
          <w:b/>
          <w:sz w:val="20"/>
          <w:szCs w:val="20"/>
          <w:lang w:val="en-GB" w:eastAsia="en-GB"/>
        </w:rPr>
        <w:t xml:space="preserve">WF1: </w:t>
      </w:r>
      <w:r>
        <w:rPr>
          <w:rFonts w:ascii="Times New Roman" w:hAnsi="Times New Roman"/>
          <w:b/>
          <w:sz w:val="20"/>
          <w:szCs w:val="20"/>
          <w:lang w:val="en-GB" w:eastAsia="en-GB"/>
        </w:rPr>
        <w:t>T</w:t>
      </w:r>
      <w:r w:rsidRPr="001F4D4D">
        <w:rPr>
          <w:rFonts w:ascii="Times New Roman" w:hAnsi="Times New Roman"/>
          <w:b/>
          <w:sz w:val="20"/>
          <w:szCs w:val="20"/>
          <w:lang w:val="en-GB" w:eastAsia="en-GB"/>
        </w:rPr>
        <w:t>he CG-based RACH-less is not supported by mobile IAB RACH-less, since the beam is always decided/known by the target cell and there is no latency reduction motivation;</w:t>
      </w:r>
    </w:p>
    <w:p w14:paraId="08CD9E02" w14:textId="77777777" w:rsidR="00A86A7B" w:rsidRDefault="00A86A7B" w:rsidP="00A86A7B">
      <w:pPr>
        <w:pStyle w:val="Sub-bulletofproposal"/>
      </w:pPr>
      <w:r>
        <w:t>WF2: The CG-based RACH-less is supported by mobile IAB RACH-less, by the following two options:</w:t>
      </w:r>
    </w:p>
    <w:p w14:paraId="53335F28" w14:textId="77777777" w:rsidR="00A86A7B" w:rsidRDefault="00A86A7B" w:rsidP="00A86A7B">
      <w:pPr>
        <w:pStyle w:val="Sub-bulletofproposal"/>
        <w:numPr>
          <w:ilvl w:val="1"/>
          <w:numId w:val="27"/>
        </w:numPr>
      </w:pPr>
      <w:r w:rsidRPr="002575B1">
        <w:t>WF2</w:t>
      </w:r>
      <w:r>
        <w:t>a</w:t>
      </w:r>
      <w:r w:rsidRPr="002575B1">
        <w:t xml:space="preserve">: The handover command can also </w:t>
      </w:r>
      <w:r>
        <w:t xml:space="preserve">explicitly </w:t>
      </w:r>
      <w:r w:rsidRPr="002575B1">
        <w:t>indicate the beam</w:t>
      </w:r>
      <w:r>
        <w:t>,</w:t>
      </w:r>
      <w:r w:rsidRPr="002575B1">
        <w:t xml:space="preserve"> </w:t>
      </w:r>
      <w:r w:rsidRPr="00A051F7">
        <w:t>even for the CG-based RACH-less</w:t>
      </w:r>
      <w:r>
        <w:t>, which will be directly used by UE.</w:t>
      </w:r>
    </w:p>
    <w:p w14:paraId="74D676B7" w14:textId="77777777" w:rsidR="00A86A7B" w:rsidRPr="00A051F7" w:rsidRDefault="00A86A7B" w:rsidP="00A86A7B">
      <w:pPr>
        <w:pStyle w:val="Sub-bulletofproposal"/>
        <w:numPr>
          <w:ilvl w:val="1"/>
          <w:numId w:val="27"/>
        </w:numPr>
        <w:spacing w:after="120"/>
      </w:pPr>
      <w:r w:rsidRPr="001E072B">
        <w:t>WF2</w:t>
      </w:r>
      <w:r>
        <w:t>b</w:t>
      </w:r>
      <w:r w:rsidRPr="001E072B">
        <w:t xml:space="preserve">: </w:t>
      </w:r>
      <w:r>
        <w:t>RAN2 confirms to support the case of only one beam associated with the CG occasions in</w:t>
      </w:r>
      <w:r w:rsidRPr="00322872">
        <w:t xml:space="preserve"> </w:t>
      </w:r>
      <w:r>
        <w:t xml:space="preserve">the </w:t>
      </w:r>
      <w:r w:rsidRPr="001E072B">
        <w:t>CG</w:t>
      </w:r>
      <w:r>
        <w:t xml:space="preserve"> configuration for</w:t>
      </w:r>
      <w:r w:rsidRPr="001E072B">
        <w:t xml:space="preserve"> RACH-less</w:t>
      </w:r>
      <w:r>
        <w:t>.</w:t>
      </w:r>
    </w:p>
    <w:p w14:paraId="44F4DF8B" w14:textId="16D18715" w:rsidR="00CF21D2" w:rsidRPr="004372AD" w:rsidRDefault="00CF21D2" w:rsidP="008F5923">
      <w:pPr>
        <w:rPr>
          <w:b/>
          <w:lang w:val="x-none"/>
        </w:rPr>
      </w:pPr>
      <w:bookmarkStart w:id="6" w:name="_GoBack"/>
      <w:bookmarkEnd w:id="6"/>
    </w:p>
    <w:sectPr w:rsidR="00CF21D2" w:rsidRPr="004372AD" w:rsidSect="00EB6BFE">
      <w:headerReference w:type="even"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F2C2C4" w14:textId="77777777" w:rsidR="00936E90" w:rsidRDefault="00936E90" w:rsidP="00796430">
      <w:r>
        <w:separator/>
      </w:r>
    </w:p>
  </w:endnote>
  <w:endnote w:type="continuationSeparator" w:id="0">
    <w:p w14:paraId="53D5087F" w14:textId="77777777" w:rsidR="00936E90" w:rsidRDefault="00936E90"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Times">
    <w:altName w:val="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F7CD0A" w14:textId="77777777" w:rsidR="00936E90" w:rsidRDefault="00936E90" w:rsidP="00796430">
      <w:r>
        <w:separator/>
      </w:r>
    </w:p>
  </w:footnote>
  <w:footnote w:type="continuationSeparator" w:id="0">
    <w:p w14:paraId="07D65041" w14:textId="77777777" w:rsidR="00936E90" w:rsidRDefault="00936E90"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316B70"/>
    <w:multiLevelType w:val="hybridMultilevel"/>
    <w:tmpl w:val="E58CAE2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3B007C"/>
    <w:multiLevelType w:val="hybridMultilevel"/>
    <w:tmpl w:val="906021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336882"/>
    <w:multiLevelType w:val="hybridMultilevel"/>
    <w:tmpl w:val="2A4ADCF2"/>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8B0453A"/>
    <w:multiLevelType w:val="multilevel"/>
    <w:tmpl w:val="281E86BE"/>
    <w:numStyleLink w:val="Recommendation"/>
  </w:abstractNum>
  <w:abstractNum w:abstractNumId="14"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59B3440"/>
    <w:multiLevelType w:val="hybridMultilevel"/>
    <w:tmpl w:val="7854D546"/>
    <w:lvl w:ilvl="0" w:tplc="88D84124">
      <w:start w:val="1"/>
      <w:numFmt w:val="bullet"/>
      <w:pStyle w:val="Sub-bulletofproposal"/>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CB7370"/>
    <w:multiLevelType w:val="hybridMultilevel"/>
    <w:tmpl w:val="A0B0F614"/>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D4673E8"/>
    <w:multiLevelType w:val="hybridMultilevel"/>
    <w:tmpl w:val="CF907220"/>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25" w15:restartNumberingAfterBreak="0">
    <w:nsid w:val="789A6CC9"/>
    <w:multiLevelType w:val="hybridMultilevel"/>
    <w:tmpl w:val="3F8AF400"/>
    <w:lvl w:ilvl="0" w:tplc="1E02822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2"/>
  </w:num>
  <w:num w:numId="4">
    <w:abstractNumId w:val="8"/>
  </w:num>
  <w:num w:numId="5">
    <w:abstractNumId w:val="18"/>
  </w:num>
  <w:num w:numId="6">
    <w:abstractNumId w:val="9"/>
  </w:num>
  <w:num w:numId="7">
    <w:abstractNumId w:val="4"/>
  </w:num>
  <w:num w:numId="8">
    <w:abstractNumId w:val="15"/>
  </w:num>
  <w:num w:numId="9">
    <w:abstractNumId w:val="17"/>
    <w:lvlOverride w:ilvl="0">
      <w:startOverride w:val="1"/>
    </w:lvlOverride>
  </w:num>
  <w:num w:numId="10">
    <w:abstractNumId w:val="2"/>
  </w:num>
  <w:num w:numId="11">
    <w:abstractNumId w:val="13"/>
  </w:num>
  <w:num w:numId="12">
    <w:abstractNumId w:val="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
  </w:num>
  <w:num w:numId="15">
    <w:abstractNumId w:val="11"/>
  </w:num>
  <w:num w:numId="16">
    <w:abstractNumId w:val="20"/>
  </w:num>
  <w:num w:numId="17">
    <w:abstractNumId w:val="7"/>
  </w:num>
  <w:num w:numId="18">
    <w:abstractNumId w:val="1"/>
  </w:num>
  <w:num w:numId="19">
    <w:abstractNumId w:val="24"/>
  </w:num>
  <w:num w:numId="20">
    <w:abstractNumId w:val="23"/>
  </w:num>
  <w:num w:numId="21">
    <w:abstractNumId w:val="22"/>
  </w:num>
  <w:num w:numId="22">
    <w:abstractNumId w:val="19"/>
  </w:num>
  <w:num w:numId="23">
    <w:abstractNumId w:val="10"/>
  </w:num>
  <w:num w:numId="24">
    <w:abstractNumId w:val="3"/>
  </w:num>
  <w:num w:numId="25">
    <w:abstractNumId w:val="25"/>
  </w:num>
  <w:num w:numId="26">
    <w:abstractNumId w:val="6"/>
  </w:num>
  <w:num w:numId="27">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198"/>
    <w:rsid w:val="00001224"/>
    <w:rsid w:val="00001832"/>
    <w:rsid w:val="00001E66"/>
    <w:rsid w:val="0000210F"/>
    <w:rsid w:val="00002265"/>
    <w:rsid w:val="00002368"/>
    <w:rsid w:val="000023A4"/>
    <w:rsid w:val="0000270D"/>
    <w:rsid w:val="00002776"/>
    <w:rsid w:val="00002A67"/>
    <w:rsid w:val="00002B17"/>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12"/>
    <w:rsid w:val="00031BB4"/>
    <w:rsid w:val="00031C6F"/>
    <w:rsid w:val="00031FB7"/>
    <w:rsid w:val="0003252D"/>
    <w:rsid w:val="000328D4"/>
    <w:rsid w:val="000334C6"/>
    <w:rsid w:val="00033529"/>
    <w:rsid w:val="000335D4"/>
    <w:rsid w:val="00033771"/>
    <w:rsid w:val="000338EB"/>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556"/>
    <w:rsid w:val="00046783"/>
    <w:rsid w:val="00046C0F"/>
    <w:rsid w:val="00046CA2"/>
    <w:rsid w:val="00047006"/>
    <w:rsid w:val="000475FB"/>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4EF"/>
    <w:rsid w:val="000B4512"/>
    <w:rsid w:val="000B4A95"/>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11E"/>
    <w:rsid w:val="000C13DF"/>
    <w:rsid w:val="000C1946"/>
    <w:rsid w:val="000C1A3D"/>
    <w:rsid w:val="000C1B1B"/>
    <w:rsid w:val="000C1E3F"/>
    <w:rsid w:val="000C249D"/>
    <w:rsid w:val="000C2641"/>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7E9"/>
    <w:rsid w:val="000D6B0D"/>
    <w:rsid w:val="000D6CCA"/>
    <w:rsid w:val="000D6F23"/>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40F"/>
    <w:rsid w:val="001A055D"/>
    <w:rsid w:val="001A060A"/>
    <w:rsid w:val="001A062B"/>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9E3"/>
    <w:rsid w:val="001D0B23"/>
    <w:rsid w:val="001D0DF9"/>
    <w:rsid w:val="001D1057"/>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4D"/>
    <w:rsid w:val="001F4D67"/>
    <w:rsid w:val="001F4ED2"/>
    <w:rsid w:val="001F52E7"/>
    <w:rsid w:val="001F56AF"/>
    <w:rsid w:val="001F5CF6"/>
    <w:rsid w:val="001F5D57"/>
    <w:rsid w:val="001F5E03"/>
    <w:rsid w:val="001F5ED3"/>
    <w:rsid w:val="001F6196"/>
    <w:rsid w:val="001F6214"/>
    <w:rsid w:val="001F645F"/>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D00"/>
    <w:rsid w:val="00201EE2"/>
    <w:rsid w:val="00201F0B"/>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5B1"/>
    <w:rsid w:val="00257B6C"/>
    <w:rsid w:val="002602B9"/>
    <w:rsid w:val="002602D8"/>
    <w:rsid w:val="002603E0"/>
    <w:rsid w:val="002605FC"/>
    <w:rsid w:val="002606DB"/>
    <w:rsid w:val="002608BD"/>
    <w:rsid w:val="00260914"/>
    <w:rsid w:val="00260B5F"/>
    <w:rsid w:val="00260C76"/>
    <w:rsid w:val="00260CA5"/>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E5"/>
    <w:rsid w:val="002E5624"/>
    <w:rsid w:val="002E5755"/>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195C"/>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872"/>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334"/>
    <w:rsid w:val="00335712"/>
    <w:rsid w:val="00335F96"/>
    <w:rsid w:val="00336325"/>
    <w:rsid w:val="003367A9"/>
    <w:rsid w:val="00336B1A"/>
    <w:rsid w:val="00336BBE"/>
    <w:rsid w:val="003371F0"/>
    <w:rsid w:val="0033732A"/>
    <w:rsid w:val="003373E0"/>
    <w:rsid w:val="00337542"/>
    <w:rsid w:val="00337A0B"/>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20C"/>
    <w:rsid w:val="003D340F"/>
    <w:rsid w:val="003D35F9"/>
    <w:rsid w:val="003D37EC"/>
    <w:rsid w:val="003D3A4D"/>
    <w:rsid w:val="003D3FF2"/>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43"/>
    <w:rsid w:val="003F45B9"/>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46"/>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34"/>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F8D"/>
    <w:rsid w:val="004372A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FC2"/>
    <w:rsid w:val="00453435"/>
    <w:rsid w:val="0045388F"/>
    <w:rsid w:val="00453A39"/>
    <w:rsid w:val="00454255"/>
    <w:rsid w:val="00454463"/>
    <w:rsid w:val="00454608"/>
    <w:rsid w:val="00454919"/>
    <w:rsid w:val="004549C6"/>
    <w:rsid w:val="00454CF6"/>
    <w:rsid w:val="00454D5F"/>
    <w:rsid w:val="00454EFD"/>
    <w:rsid w:val="00454F42"/>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D0"/>
    <w:rsid w:val="004F3955"/>
    <w:rsid w:val="004F3CFD"/>
    <w:rsid w:val="004F3F7F"/>
    <w:rsid w:val="004F4233"/>
    <w:rsid w:val="004F44D2"/>
    <w:rsid w:val="004F492C"/>
    <w:rsid w:val="004F4B8A"/>
    <w:rsid w:val="004F4C92"/>
    <w:rsid w:val="004F4E6C"/>
    <w:rsid w:val="004F4EC3"/>
    <w:rsid w:val="004F4F07"/>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4C72"/>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628"/>
    <w:rsid w:val="00600A0D"/>
    <w:rsid w:val="00600D5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A56"/>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80339"/>
    <w:rsid w:val="00680853"/>
    <w:rsid w:val="00680C92"/>
    <w:rsid w:val="00681537"/>
    <w:rsid w:val="00681AD4"/>
    <w:rsid w:val="00681C42"/>
    <w:rsid w:val="00681CCF"/>
    <w:rsid w:val="0068229F"/>
    <w:rsid w:val="006823CA"/>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1B"/>
    <w:rsid w:val="006A5030"/>
    <w:rsid w:val="006A50FE"/>
    <w:rsid w:val="006A5653"/>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1346"/>
    <w:rsid w:val="006C1934"/>
    <w:rsid w:val="006C19BA"/>
    <w:rsid w:val="006C214D"/>
    <w:rsid w:val="006C2355"/>
    <w:rsid w:val="006C287B"/>
    <w:rsid w:val="006C30C0"/>
    <w:rsid w:val="006C31D4"/>
    <w:rsid w:val="006C3423"/>
    <w:rsid w:val="006C3A59"/>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6D7"/>
    <w:rsid w:val="007C67A6"/>
    <w:rsid w:val="007C6874"/>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F38"/>
    <w:rsid w:val="008753AF"/>
    <w:rsid w:val="008758BA"/>
    <w:rsid w:val="00875C83"/>
    <w:rsid w:val="00875C93"/>
    <w:rsid w:val="00875E12"/>
    <w:rsid w:val="00875FAE"/>
    <w:rsid w:val="00876434"/>
    <w:rsid w:val="00876616"/>
    <w:rsid w:val="0087692E"/>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544"/>
    <w:rsid w:val="00882995"/>
    <w:rsid w:val="00882DA7"/>
    <w:rsid w:val="00883112"/>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5D15"/>
    <w:rsid w:val="008A60D5"/>
    <w:rsid w:val="008A6336"/>
    <w:rsid w:val="008A676F"/>
    <w:rsid w:val="008A6A24"/>
    <w:rsid w:val="008A71CE"/>
    <w:rsid w:val="008A74ED"/>
    <w:rsid w:val="008A78CF"/>
    <w:rsid w:val="008A79FB"/>
    <w:rsid w:val="008A7A02"/>
    <w:rsid w:val="008A7AA6"/>
    <w:rsid w:val="008A7E73"/>
    <w:rsid w:val="008B02AE"/>
    <w:rsid w:val="008B0843"/>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71"/>
    <w:rsid w:val="008F57B6"/>
    <w:rsid w:val="008F58C0"/>
    <w:rsid w:val="008F5923"/>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05B"/>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6E90"/>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BA"/>
    <w:rsid w:val="00992260"/>
    <w:rsid w:val="009923E9"/>
    <w:rsid w:val="009923EC"/>
    <w:rsid w:val="00992477"/>
    <w:rsid w:val="00992490"/>
    <w:rsid w:val="009926E0"/>
    <w:rsid w:val="0099272E"/>
    <w:rsid w:val="00992F1E"/>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9C0"/>
    <w:rsid w:val="009959E3"/>
    <w:rsid w:val="00995D85"/>
    <w:rsid w:val="00996074"/>
    <w:rsid w:val="00996124"/>
    <w:rsid w:val="0099622A"/>
    <w:rsid w:val="009964C6"/>
    <w:rsid w:val="00996612"/>
    <w:rsid w:val="00996672"/>
    <w:rsid w:val="00996B5A"/>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CE7"/>
    <w:rsid w:val="009A6DD5"/>
    <w:rsid w:val="009A70A4"/>
    <w:rsid w:val="009A70F4"/>
    <w:rsid w:val="009A74E8"/>
    <w:rsid w:val="009A7506"/>
    <w:rsid w:val="009A77C4"/>
    <w:rsid w:val="009A78C2"/>
    <w:rsid w:val="009A79B1"/>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A1A"/>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4F"/>
    <w:rsid w:val="009E1E75"/>
    <w:rsid w:val="009E1F29"/>
    <w:rsid w:val="009E200F"/>
    <w:rsid w:val="009E2BB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1F7"/>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A74"/>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A7B"/>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2B7"/>
    <w:rsid w:val="00B1537B"/>
    <w:rsid w:val="00B155D4"/>
    <w:rsid w:val="00B155E5"/>
    <w:rsid w:val="00B1563C"/>
    <w:rsid w:val="00B15761"/>
    <w:rsid w:val="00B15B1E"/>
    <w:rsid w:val="00B1609D"/>
    <w:rsid w:val="00B16124"/>
    <w:rsid w:val="00B1635C"/>
    <w:rsid w:val="00B1683B"/>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18A0"/>
    <w:rsid w:val="00B21CB5"/>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1B97"/>
    <w:rsid w:val="00B3235C"/>
    <w:rsid w:val="00B32704"/>
    <w:rsid w:val="00B327DF"/>
    <w:rsid w:val="00B33646"/>
    <w:rsid w:val="00B33903"/>
    <w:rsid w:val="00B33BD3"/>
    <w:rsid w:val="00B33D5E"/>
    <w:rsid w:val="00B33EA8"/>
    <w:rsid w:val="00B34B60"/>
    <w:rsid w:val="00B34D0B"/>
    <w:rsid w:val="00B34F50"/>
    <w:rsid w:val="00B359B5"/>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794"/>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E65"/>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7E0"/>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76C"/>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EAA"/>
    <w:rsid w:val="00BD7F3B"/>
    <w:rsid w:val="00BE01E7"/>
    <w:rsid w:val="00BE0251"/>
    <w:rsid w:val="00BE04D5"/>
    <w:rsid w:val="00BE07FB"/>
    <w:rsid w:val="00BE0D5A"/>
    <w:rsid w:val="00BE0E1D"/>
    <w:rsid w:val="00BE107E"/>
    <w:rsid w:val="00BE12E2"/>
    <w:rsid w:val="00BE144D"/>
    <w:rsid w:val="00BE1892"/>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6EC4"/>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41"/>
    <w:rsid w:val="00BF5738"/>
    <w:rsid w:val="00BF57D3"/>
    <w:rsid w:val="00BF5D43"/>
    <w:rsid w:val="00BF5E5E"/>
    <w:rsid w:val="00BF5FAC"/>
    <w:rsid w:val="00BF632D"/>
    <w:rsid w:val="00BF6B30"/>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2A9"/>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B2C"/>
    <w:rsid w:val="00D23D7F"/>
    <w:rsid w:val="00D241C9"/>
    <w:rsid w:val="00D246D8"/>
    <w:rsid w:val="00D248D8"/>
    <w:rsid w:val="00D24E4D"/>
    <w:rsid w:val="00D24EA0"/>
    <w:rsid w:val="00D25199"/>
    <w:rsid w:val="00D253F4"/>
    <w:rsid w:val="00D25794"/>
    <w:rsid w:val="00D257FD"/>
    <w:rsid w:val="00D258BA"/>
    <w:rsid w:val="00D259DF"/>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4F72"/>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5FFE"/>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15A"/>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9AB"/>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6BA"/>
    <w:rsid w:val="00E9681A"/>
    <w:rsid w:val="00E96B79"/>
    <w:rsid w:val="00E96C37"/>
    <w:rsid w:val="00E96E2C"/>
    <w:rsid w:val="00E976A5"/>
    <w:rsid w:val="00E97754"/>
    <w:rsid w:val="00E97807"/>
    <w:rsid w:val="00E97E56"/>
    <w:rsid w:val="00EA0383"/>
    <w:rsid w:val="00EA04C0"/>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6E20"/>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BDE"/>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D91"/>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62C0"/>
    <w:rsid w:val="00FA63EB"/>
    <w:rsid w:val="00FA65BF"/>
    <w:rsid w:val="00FA6686"/>
    <w:rsid w:val="00FA6AC8"/>
    <w:rsid w:val="00FA6AFD"/>
    <w:rsid w:val="00FA6BA9"/>
    <w:rsid w:val="00FA6C40"/>
    <w:rsid w:val="00FA70CC"/>
    <w:rsid w:val="00FA7DE2"/>
    <w:rsid w:val="00FA7F90"/>
    <w:rsid w:val="00FB00ED"/>
    <w:rsid w:val="00FB01FD"/>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86A7B"/>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aliases w:val="H1,h1,Heading 1 3GPP,Memo Heading 1,NMP Heading 1,app heading 1,l1,h11,h12,h13,h14,h15,h16,h17,h111,h121,h131,h141,h151,h161,h18,h112,h122,h132,h142,h152,h162,h19,h113,h123,h133,h143,h153,h163,1,Section of paper,Heading 1_a,Huvudrubrik"/>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level 2,2nd level,†berschrift 2"/>
    <w:basedOn w:val="1"/>
    <w:next w:val="a0"/>
    <w:link w:val="2Char"/>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rsid w:val="0090206A"/>
    <w:pPr>
      <w:numPr>
        <w:ilvl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tabs>
        <w:tab w:val="clear" w:pos="1077"/>
        <w:tab w:val="num" w:pos="360"/>
      </w:tabs>
      <w:ind w:left="794"/>
    </w:pPr>
  </w:style>
  <w:style w:type="paragraph" w:customStyle="1" w:styleId="EQ">
    <w:name w:val="EQ"/>
    <w:basedOn w:val="a0"/>
    <w:next w:val="a0"/>
    <w:pPr>
      <w:keepLines/>
      <w:tabs>
        <w:tab w:val="center" w:pos="4536"/>
        <w:tab w:val="right" w:pos="9072"/>
      </w:tabs>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ind w:left="1135" w:hanging="851"/>
    </w:pPr>
    <w:rPr>
      <w:rFonts w:eastAsia="Malgun Gothic"/>
      <w:color w:val="FF0000"/>
      <w:lang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uiPriority w:val="99"/>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rPr>
      <w:rFonts w:eastAsia="Malgun Gothic"/>
      <w:lang w:eastAsia="x-none"/>
    </w:rPr>
  </w:style>
  <w:style w:type="paragraph" w:customStyle="1" w:styleId="B2">
    <w:name w:val="B2"/>
    <w:basedOn w:val="24"/>
    <w:link w:val="B2Char"/>
    <w:qFormat/>
    <w:rPr>
      <w:rFonts w:eastAsia="Malgun Gothic"/>
      <w:lang w:eastAsia="en-US"/>
    </w:rPr>
  </w:style>
  <w:style w:type="paragraph" w:customStyle="1" w:styleId="B3">
    <w:name w:val="B3"/>
    <w:basedOn w:val="32"/>
    <w:link w:val="B3Char"/>
    <w:qFormat/>
    <w:rPr>
      <w:lang w:val="x-none" w:eastAsia="en-US"/>
    </w:rPr>
  </w:style>
  <w:style w:type="paragraph" w:customStyle="1" w:styleId="B4">
    <w:name w:val="B4"/>
    <w:basedOn w:val="43"/>
    <w:link w:val="B4Char"/>
    <w:rPr>
      <w:lang w:val="x-none" w:eastAsia="en-US"/>
    </w:rPr>
  </w:style>
  <w:style w:type="paragraph" w:customStyle="1" w:styleId="Proposal">
    <w:name w:val="Proposal"/>
    <w:basedOn w:val="a0"/>
    <w:link w:val="ProposalChar"/>
    <w:qFormat/>
    <w:pPr>
      <w:numPr>
        <w:numId w:val="17"/>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link w:val="B5Char"/>
    <w:qFormat/>
    <w:rPr>
      <w:lang w:eastAsia="en-US"/>
    </w:rPr>
  </w:style>
  <w:style w:type="paragraph" w:customStyle="1" w:styleId="EX">
    <w:name w:val="EX"/>
    <w:basedOn w:val="a0"/>
    <w:pPr>
      <w:keepLines/>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1"/>
    <w:next w:val="a0"/>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p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rPr>
  </w:style>
  <w:style w:type="paragraph" w:styleId="af8">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列表段落"/>
    <w:basedOn w:val="a0"/>
    <w:link w:val="Char4"/>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af9">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textAlignment w:val="auto"/>
    </w:pPr>
    <w:rPr>
      <w:lang w:val="x-none" w:eastAsia="x-none"/>
    </w:rPr>
  </w:style>
  <w:style w:type="paragraph" w:customStyle="1" w:styleId="Recommend-2">
    <w:name w:val="Recommend-2"/>
    <w:basedOn w:val="a0"/>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Char2">
    <w:name w:val="批注文字 Char"/>
    <w:link w:val="af2"/>
    <w:uiPriority w:val="99"/>
    <w:qFormat/>
    <w:rsid w:val="00D67B66"/>
    <w:rPr>
      <w:rFonts w:ascii="Arial" w:eastAsia="宋体" w:hAnsi="Arial"/>
    </w:rPr>
  </w:style>
  <w:style w:type="paragraph" w:customStyle="1" w:styleId="Agreement">
    <w:name w:val="Agreement"/>
    <w:basedOn w:val="a0"/>
    <w:next w:val="a0"/>
    <w:uiPriority w:val="99"/>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リスト段落 Char,¥¡¡¡¡ì¬º¥¹¥È¶ÎÂä Char,ÁÐ³ö¶ÎÂä Char,列出段落1 Char,列表段落1 Char,—ño’i—Ž Char,¥ê¥¹¥È¶ÎÂä Char,1st level - Bullet List Paragraph Char,목록단락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textAlignment w:val="auto"/>
    </w:pPr>
    <w:rPr>
      <w:lang w:eastAsia="en-US"/>
    </w:rPr>
  </w:style>
  <w:style w:type="paragraph" w:customStyle="1" w:styleId="afc">
    <w:name w:val="表格题注"/>
    <w:basedOn w:val="a0"/>
    <w:rsid w:val="00E03D28"/>
    <w:pPr>
      <w:overflowPunct/>
      <w:autoSpaceDE/>
      <w:autoSpaceDN/>
      <w:adjustRightInd/>
      <w:textAlignment w:val="auto"/>
    </w:pPr>
    <w:rPr>
      <w:lang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0"/>
    <w:rsid w:val="003E013A"/>
    <w:rPr>
      <w:b/>
    </w:rPr>
  </w:style>
  <w:style w:type="character" w:customStyle="1" w:styleId="2Char0">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9"/>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9"/>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9"/>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 w:type="character" w:customStyle="1" w:styleId="2Char">
    <w:name w:val="标题 2 Char"/>
    <w:aliases w:val="H2 Char,h2 Char,DO NOT USE_h2 Char,h21 Char,Heading 2 3GPP Char,Head2A Char,2 Char,UNDERRUBRIK 1-2 Char,level 2 Char,2nd level Char,†berschrift 2 Char"/>
    <w:basedOn w:val="a1"/>
    <w:link w:val="2"/>
    <w:rsid w:val="001319AB"/>
    <w:rPr>
      <w:rFonts w:ascii="Arial" w:hAnsi="Arial"/>
      <w:sz w:val="32"/>
      <w:szCs w:val="32"/>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basedOn w:val="a1"/>
    <w:link w:val="30"/>
    <w:rsid w:val="0066354E"/>
    <w:rPr>
      <w:rFonts w:ascii="Arial" w:hAnsi="Arial"/>
      <w:sz w:val="28"/>
      <w:szCs w:val="28"/>
      <w:lang w:val="en-GB"/>
    </w:rPr>
  </w:style>
  <w:style w:type="character" w:customStyle="1" w:styleId="eop">
    <w:name w:val="eop"/>
    <w:basedOn w:val="a1"/>
    <w:rsid w:val="00996B5A"/>
  </w:style>
  <w:style w:type="character" w:customStyle="1" w:styleId="Char10">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DC0758"/>
    <w:rPr>
      <w:rFonts w:ascii="Times" w:eastAsia="Batang" w:hAnsi="Times" w:cs="Times New Roman"/>
      <w:kern w:val="0"/>
      <w:sz w:val="22"/>
      <w:szCs w:val="24"/>
      <w:lang w:val="en-GB" w:eastAsia="zh-CN"/>
    </w:rPr>
  </w:style>
  <w:style w:type="paragraph" w:customStyle="1" w:styleId="Sub-bulletofproposal">
    <w:name w:val="Sub-bullet of proposal"/>
    <w:basedOn w:val="af8"/>
    <w:link w:val="Sub-bulletofproposalChar"/>
    <w:qFormat/>
    <w:rsid w:val="009D3A1A"/>
    <w:pPr>
      <w:numPr>
        <w:numId w:val="27"/>
      </w:numPr>
      <w:spacing w:after="180"/>
    </w:pPr>
    <w:rPr>
      <w:rFonts w:ascii="Times New Roman" w:hAnsi="Times New Roman"/>
      <w:b/>
      <w:sz w:val="20"/>
      <w:szCs w:val="20"/>
      <w:lang w:val="en-GB" w:eastAsia="en-GB"/>
    </w:rPr>
  </w:style>
  <w:style w:type="character" w:customStyle="1" w:styleId="Sub-bulletofproposalChar">
    <w:name w:val="Sub-bullet of proposal Char"/>
    <w:basedOn w:val="Char4"/>
    <w:link w:val="Sub-bulletofproposal"/>
    <w:rsid w:val="009D3A1A"/>
    <w:rPr>
      <w:rFonts w:ascii="Times New Roman" w:eastAsia="Times New Roman" w:hAnsi="Times New Roman" w:cs="Calibri"/>
      <w:b/>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0452950">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A2C02F-7E99-46F9-BCD1-019B7B376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284</TotalTime>
  <Pages>3</Pages>
  <Words>1151</Words>
  <Characters>6566</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7702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lastModifiedBy>Huawei-Yulong</cp:lastModifiedBy>
  <cp:revision>38</cp:revision>
  <cp:lastPrinted>2016-09-19T04:11:00Z</cp:lastPrinted>
  <dcterms:created xsi:type="dcterms:W3CDTF">2023-10-24T09:53:00Z</dcterms:created>
  <dcterms:modified xsi:type="dcterms:W3CDTF">2023-11-02T14:28:00Z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(3)kP4cX5K2M13EZGs8NNw51qE92bS0lo/72zxm/b3AivmQIpLZuMa43PC/lPBhFjKtf7VX97qT
AJVS5D1PhnU5+Z5Cm+N5vIS8kGqZ7sEPXNV2PcgKNIMpOB9qk6vKTDKThUSGshqxYSqO5a1A
1MltR2qYm1dHwHj1vRjpinaH0FTV7NA55S0LIFh89GV+8Qlr9THKeKzuxcOdGOoeJtWR+kCR
Q+4jjQoF/FFdf6WCNC</vt:lpwstr>
  </property>
  <property fmtid="{D5CDD505-2E9C-101B-9397-08002B2CF9AE}" pid="25" name="_2015_ms_pID_725343_00">
    <vt:lpwstr>_2015_ms_pID_725343</vt:lpwstr>
  </property>
  <property fmtid="{D5CDD505-2E9C-101B-9397-08002B2CF9AE}" pid="26" name="_2015_ms_pID_7253431">
    <vt:lpwstr>lwURVw7b2KJ+DmxsxfZxcxW9f5JeSjTmBypL1sAFmG1lq2nO+Zxo7R
P+B4kzRaZlyuwiNimcTYs1oG2uOk3Zrkv5l5kI6VwPk2o3n3cJTtjQw44obWFjVELOp1F+J5
89m79gw15DPUho9evqV5MaiKDgxR9hIpaugWDLr0oVrB1blMMLj4gmbK9TKnzbv8MphYYTmi
VTmr1ee3OnKji/zKaC+xMlc3MIJLUHfqUgQd</vt:lpwstr>
  </property>
  <property fmtid="{D5CDD505-2E9C-101B-9397-08002B2CF9AE}" pid="27" name="_2015_ms_pID_7253431_00">
    <vt:lpwstr>_2015_ms_pID_7253431</vt:lpwstr>
  </property>
  <property fmtid="{D5CDD505-2E9C-101B-9397-08002B2CF9AE}" pid="28" name="_2015_ms_pID_7253432">
    <vt:lpwstr>DA==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1698820941</vt:lpwstr>
  </property>
</Properties>
</file>